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мастер-лекции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«Волонтерство и роль взаимопомощи в условиях СВО»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Гасанов Геннадий Борисович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эксперт Всероссийского конкурса молодежных проектов,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победитель Всероссийского конкурса политологов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Цель лекции: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показать, какую роль играет волонтерская помощь в условиях специальной военной операции, а также объяснить на примерах, как развивается гражданская взаимопомощь в современной России и какие формы участия в этом процессе доступны взрослому населению.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Задачи: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"/>
        </w:numPr>
        <w:jc w:val="both"/>
        <w:spacing w:after="0" w:line="360" w:lineRule="auto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Предоставить слушателям краткий и объективный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обзор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контекста специальной военной операции и ее последствий для российского общества. </w:t>
      </w:r>
      <w:r/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Объяснить, что представляет собой волонтерская деятельность, какие формы она может принимать и в чем заключается ее значимость в мирное и кризисное время.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Показать, что традиции взаимопомощи и добровольческого участия имеют глубокие исторические корни в России и сохраняют актуальность сегодня.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Описать, как волонтерство реализуется в условиях СВО, какие направления помощи существуют, кто может быть вовлечен и какие способы участия доступны взрослым людям.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Формируемые ценности: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6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взаимопомощь и взаимоуважение;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6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высокие нравственные идеалы.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специальная военная операция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Продолжительность лекции: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40 минут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Целевая аудитория: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работающая молодежь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Возрастное ограничение: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+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Рекомендуемая форма выступления: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интерактивная лекция, дискуссия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Тип ММ: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лекция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Комплект материалов: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сценарий;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презентация.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  <w:t xml:space="preserve">Слайд 1. Инструкция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2. Титульный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Добрый день!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мы с вами поговорим о волонтерстве и взаимопомощи в условиях специальной военной операции (СВО). Обсудим, что представляет собой волонтерская деятельность, какие формы она может принимать и в чем ее значимость.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 время Великой Отечественной войны советские граждане в общем пожертвовали Родине 94,5 млрд рублей. Это 16% прямых расходов на войну. То есть примерно каждый шестой самолет и танк был построен на народные взносы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февраля 2022 года собраны десятки тысяч тонн гуманитарной помощи для вынужденных переселенцев и жителей Донбасса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Волонтеры фонда «Все для победы!» только за два года собрали свыше 14 млрд рублей на нужды участников СВО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Мы видим, что добровольчество в России во все времена имело большие масштабы. Это позволяет говорить о том, что традиции безвозмездной помощи являются результатом осознанного выбора гражданского общества.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3. Регистрация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Теперь давайте пройдем регистрацию. Для этого необходимо отсканировать QR-код, который вы видите на экране.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4. 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5. Контекст специальной военной операции 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СВО, начавшаяся 24 февраля 2022 года, стала не только военно-политическим, но и социальным событием. Она затронула большое количество людей — как непосредственно участников, так и их семьи, гражданское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население, оказавшееся в зоне боевых действий. В этой ситуации особенно обострилась потребность в добровольной помощи и гражданской поддержке: гуманитарной, психологической, юридической, организационной.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Влияние на общество: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1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Рост запросов на вовлеченность со стороны общества и личное участие граждан в помощи.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Появление новых инициатив «снизу» — от граждан, объединений, сообществ.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Возвращение традиций взаимопомощи в новом формате.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Усиление роли волонтеров как связующего звена между обществом и государством.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таких условиях особенно важна способность общества к самоорганизации. Государство не может охватить все — и именно здесь возникает необходимость в добровольческом участии. Мы видим, как обычные граждане становятся частью системы помощи.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6. Открытый вопрос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01078" cy="225048"/>
                <wp:effectExtent l="0" t="0" r="0" b="0"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4724786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01077" cy="22504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8.83pt;height:17.72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какими формами гражданской помощи в условиях СВО вы лично сталкивались — как участник, организатор или наблюдатель?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(Ответы участников)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Комментарий для лектора: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Участники могут назвать одно-два направления (вслух или в чате, если формат онлайн).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Добровольческая помощь стала неотъемлемой частью жизни общества. Тысячи волонтеров сплотились, поддерживая участников специальной военной операции. Забота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бойцах и их семьях породила новое сообщество людей, которые, несмотря на штатное обеспечение военнослужащих, считают своим долгом не только собирать для них гуманитарную помощь, но и оказывать моральную поддержку, которая имеет на фронте огромную ценность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5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7. Социальное участие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Мобилизация и консолидация общества: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13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поддержка мобилизованных и их семей потребовала включения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гражданских инициатив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каждом регионе;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3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россияне с 2022 года собрали порядка 54,5 млрд рублей на поддержку спецоперации</w:t>
      </w:r>
      <w:r>
        <w:rPr>
          <w:color w:val="000000"/>
          <w:vertAlign w:val="superscript"/>
        </w:rPr>
        <w:footnoteReference w:id="6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Помощь в размещении: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1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более 5 млн человек с начала спецоперации добровольно переехали в Россию с Украины, из ДНР и ЛНР</w:t>
      </w:r>
      <w:r>
        <w:rPr>
          <w:color w:val="000000"/>
          <w:vertAlign w:val="superscript"/>
        </w:rPr>
        <w:footnoteReference w:id="7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более тысячи пунктов временного размещения развернуто в разных регионах России</w:t>
      </w:r>
      <w:r>
        <w:rPr>
          <w:color w:val="000000"/>
          <w:vertAlign w:val="superscript"/>
        </w:rPr>
        <w:footnoteReference w:id="8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Рост вовлеченности населения: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16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почти 3 тысячи добровольцев приняли участие в гуманитарных миссиях для оказания помощи мирным жителям освобожденных территорий</w:t>
      </w:r>
      <w:r>
        <w:rPr>
          <w:color w:val="000000"/>
          <w:vertAlign w:val="superscript"/>
        </w:rPr>
        <w:footnoteReference w:id="9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6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67% наших сограждан в конце 2024 года сообщали, что они помогают военным и людям, живущим на исторических территориях страны</w:t>
      </w:r>
      <w:r>
        <w:rPr>
          <w:color w:val="000000"/>
          <w:vertAlign w:val="superscript"/>
        </w:rPr>
        <w:footnoteReference w:id="10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Наблюдается беспрецедентный рост социального участия. Люди, которые никогда не участвовали в добровольчестве,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начали помогать — от сбора посылок до плетения сетей и юридических консультаций. Это не просто всплеск активности — это сдвиг в культуре ответственности. СВО стала моментом гражданской зрелости, когда миллионы людей выбрали неравнодушие как форму участия.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Минэкономразвития РФ опубликовало доклад о деятельности и развитии социально ориентированных некоммерческих организаций в Российской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Федерации за 2024 год, в котором отмечается среднесписочный рост численности добровольцев: в 2022 году — 3 232,6, в 2023 — 3 958,5, а в 2024 — 4 849,1. То есть по сравнению с 2022 годом вовлеченность в волонтерство среди граждан демонстрирует 33% прирост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1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Исследователи ВЦИОМ в 2025 году выяснили, что процент добровольцев в России увеличился на 9% в сравнении с 2023 годом — с 27% до 36%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При этом две трети россиян 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оворят о готовности помогать, что демонстрирует почти двукратный разрыв между участием и желанием помочь. Добровольческая деятельность становится привлекательнее и престижнее, вовлеченность растет с каждым годом, а потенциал для развития направления велик.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целом волонтерство в России укрепляется как ценностная и гражданская практика, особенно среди молодежи, и реальное количество россиян, оказывающих добровольную помощь, гораздо больше.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8. Системные вызовы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Говоря о волонтерстве в условиях СВО, необходимо понимать, что речь идет не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только о доброй воле отдельных людей, но и о способности системы — государственной, региональной, общественной — выстроить устойчивую поддержку. И здесь возникает ряд системных вызовов, с которыми сталкиваются как органы власти, так и гражданское общество.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1. Координация усилий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17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волонтерскую помощь в условиях СВО откликнулись тысячи организаторов, но далеко не всегда их работа была скоординирована.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7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Избыточность в одних регионах и дефицит в других — частая проблема.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7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Требуется четкая логистика и распределение ресурсов, чтобы помощь доходила туда, где она действительно необходима.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2. Надежность и безопасность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18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Волонтеры работают вблизи зон повышенного риска, в том числе в прифронтовых районах.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8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Возникают вопросы безопасности, пропускного режима, обеспечения необходимыми документами.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8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Также требуется проверка гуманитарных грузов,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корректность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сбора и доставки.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3. Поддержка и выгорание волонтеров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Постоянное эмоциональное и физическое напряжение приводит к выгоранию.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 все организации способны обеспечить своим волонтерам психологическую поддержку или отдых.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Необходимы программы профилактики выгорания, как и система социального признания их труда.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4. Законодательная и административная база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15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Закон о добровольчестве есть, но он не покрывает всех практических ситуаций, возникающих в зоне СВО.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5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Нужна гибкость в регулировании, например, упрощенная регистрация инициатив, адаптация норм под условия мобилизации.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5. Образ и доверие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19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Общество чутко реагирует на случаи неэффективности или злоупотреблений среди волонтерских структур. Это подрывает доверие к добровольчеству в целом.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9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Требуется информационная прозрачность, этический контроль, активное участие СМИ и государственных каналов в формировании позитивного, но реалистичного образа волонтера.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6. Вовлечение взрослых и профессионалов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20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Большая часть волонтеров — молодежь, но при этом крайне востребовано взрослое население, особенно профессионалы (медики, юристы, логисты).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0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Часто им не хватает информации о возможностях участия либо определенных условий (например, отпусков для участия в миссиях, налоговых льгот и пр.).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Таким образом, волонтерство — это не только проявле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ние человеческого сострадания, но и вызов всей системе. Чтобы эта помощь была устойчивой, эффективной и безопасной, необходимо устранять «узкие места». Это задача и гражданского общества, и органов власти — особенно на региональном и муниципальном уровнях.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9. Рост самоорганизации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фоне высокой нагрузки на государственные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структуры и социальной тревожности мы увидели всплеск инициатив «снизу» — со стороны самих граждан. Люди не ждали распоряжений, а начали помогать тем, чем могли. Это важнейший социальный сигнал: общество не пассивно, оно включается в решение сложных задач.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Волонтерство стало своего рода компенсаторной тканью — заполняя пробелы там, где системные ресурсы объективно не успевают.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СВО активизировала запрос на горизонтальные связи, доверие, коллективные действия. Волонтерство стало формой зрелой гражданской реакции: люди искали, где они могут быть полезны, и включались в помощь на разных уровнях. Формула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«если не я, то кто?»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стала лейтмотивом тысяч историй добровольцев.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10. 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01078" cy="225048"/>
                <wp:effectExtent l="0" t="0" r="0" b="0"/>
                <wp:docPr id="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01078" cy="2250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8.83pt;height:17.72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вы считаете, какие именно дефициты (не только материальные, но и организационные, человеческие, психологические) компенсирует волонтерская помощь в условиях СВО?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(Ответы участников)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Комментарий для лектора: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пауза на 1–2 ответа из зала либо онлайн-опрос, если формат цифровой.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Примерные ответы, на которых можно акцентировать внимание: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2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нехватка кадров в гуманитарной сфере;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отсутствие гибкой логистики;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недостаток оперативной коммуникации с пострадавшими;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потребность в эмоциональной поддержке;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недоверие или дистанция между властью и населением, которую помогает сократить волонтер.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Таким образом, волонтерство — это не просто помощь «по зову сердца», а гибкий и живой механизм социальной устойчивости, который включается тогда, когда ситуация требует коллективной ответственности и действий.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11. Вопрос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01078" cy="225048"/>
                <wp:effectExtent l="0" t="0" r="0" b="0"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8174035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01077" cy="22504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78.83pt;height:17.72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Кто из присутствующих когда-либо участвовал в добровольческой деятельности? Даже если это была школьная акция, помощь соседям или сбор вещей, поднимите руку.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(Ответы слушателей)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Комментарий для лектора: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пауза, можно дать слово 1–2 участникам.</w:t>
      </w:r>
      <w:r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12. Определение и правовая база добровольческой деятельности 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Добровольческая деятельность стала неотъемлемым элементом современного общества. Российское законодательство активно поддерживает и участвует в развитии волонтерской деятельно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сти. Добровольческое движение в России регулируется федеральным законом от 11 августа 1995 г. № 135-ФЗ «О благотворительной деятельности и добровольчестве (волонтерстве)» и другими нормативными документами, которые определяют систему общественных отношений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Многие сферы сейчас заинтересованы в поддержке и активном участии добровольцев. Поэтому государственная система способствует развитию добровольческих организаций. Согласно аналитике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портала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Добро.рф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сегодняшний день в России зарегистрировано свыше 170 тысяч организаций, занимающихся волонтерской деятельностью.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экосистеме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Добро.рф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есть множество сервисов, которые помогают людям выбрать интересующий их проект, чтобы стать волонтером, а организаторам — найти помощников и партнеров.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Важно понимать: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воло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нтер — это не просто «добрый человек», а субъект с правами и обязанностями, включенный в систему социальной помощи. Закон защищает волонтеров, открывает для них ресурсы, а органы власти все чаще выступают партнерами в организации добровольческих инициатив.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13. Исторические корни взаимопомощи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Добровольная помощь в России имеет крепкие корни. Зарождение добровольчества было связано с русской православной церковью, когда после Крещения Руси в 988 году безвозмездная помощь и труд в монастырях стали традицией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Позднее добровольческое движение приобретало разные формы — история благотворительности знает немало примеров бескорыстной помощи ближним. В разное время оно существовало в виде общин сестер милосердия, тимуровского и пионерского движений и других форм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5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Ключевые исторические примеры: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Сестры милосердия в Крымскую войну (1853–1856)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23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первые организованные отряды женщин, обученных уходу за ранеными;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3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поддерживались Императорским благотворительным обществом и Церковью.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Благотворительные общества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2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Московское, Петербургское, губернские общества помощи бедным;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организация приютов, ночлежек, бесплатных столовых.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Образовательные инициативы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25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добровольные народные учителя в деревнях;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5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поддержка крестьянских детей, обучение грамоте — часто за счет меценатов.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Женские кружки помощи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1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сбор теплой одежды для солдат, денежных средств и организация ярмарок;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особенно активны были дворянки и городская интеллигенция.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Традиции народной взаимопомощи были в России всегда. Добровольчество и безвозмездная помощь появились еще во времена Древней Руси. Основы благотворительности формировались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веками, выражаясь в стремлении помочь тем, кто в этом нуждался. Это стремление находило отклик и у представителей простого люда, и у первых лиц государства. Желание помогать и заботиться о других — это особенность национального характера русского человека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6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01078" cy="225048"/>
                <wp:effectExtent l="0" t="0" r="0" b="0"/>
                <wp:docPr id="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01078" cy="2250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78.83pt;height:17.72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вы думаете, почему в те времена, когда не было интернета, мобильных приложений и грантов, люди все равно организовывались и помогали?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(Ответы участников)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Примерные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ответы: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вера, сострадание, религиозный долг, традиции родовой ответственности, влияние меценатов.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Пример из истории: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Великая княгиня Елизавета Федоровна основала Марфо-Мариинскую обитель милосердия, где монахини занимались уходом за больными, образованием девочек-сирот и распределением помощи нуждающимся — это была форма добровольного служения без расчета на награду.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Взаимопомощь — часть культурного кода России. И сегодняшние формы добровольчества — это не заимствование из Запада, а возвращение к своим историческим истокам.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14. Опыт Великой Отечественной войны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 время Великой Отечественной войны в СССР существовало развитое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обровольческое движение. Одним из широко известных примеров является тимуровское движение, объединявшее большое количество ребят, помогавших семьям фронтовиков: они ремонтировали квартиры, заготавливали топливо — вели разнообразную и активную деятельность.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Формы народной взаимопомощи в 1941–1945 гг.: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Тыловая помощь фронту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2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сбор теплых вещей, пошив гимнастерок, вязание носков и рукавиц;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2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сверхурочные смены, самообложение, работа подростков и пенсионеров на заводах;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организация женских кружков и мастерских.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Сбор средств на армию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27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массовая сдача денег, облигаций, украшений;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7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народные танковые колонны («Дмитрий Донской», «Комсомолец», «Колхозник» и др.)</w:t>
      </w:r>
      <w:r>
        <w:rPr>
          <w:color w:val="000000"/>
          <w:vertAlign w:val="superscript"/>
        </w:rPr>
        <w:footnoteReference w:id="17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720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Фронтовые бригады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numPr>
          <w:ilvl w:val="0"/>
          <w:numId w:val="27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коллективы артистов, поэтов, чтецов и музыкантов выступали в госпиталях и на передовой;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7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более 1,5 млн фронтовых концертов за войну</w:t>
      </w:r>
      <w:r>
        <w:rPr>
          <w:color w:val="000000"/>
          <w:vertAlign w:val="superscript"/>
        </w:rPr>
        <w:footnoteReference w:id="18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720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Тимуровское движение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numPr>
          <w:ilvl w:val="0"/>
          <w:numId w:val="27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около 3 млн подростков помогали семьям фронтовиков, собирали металлолом, ухаживали за ранеными, поддерживали пожилых</w:t>
      </w:r>
      <w:r>
        <w:rPr>
          <w:color w:val="000000"/>
          <w:vertAlign w:val="superscript"/>
        </w:rPr>
        <w:footnoteReference w:id="19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7"/>
        </w:numPr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инициатива получила поддержку на уровне пионерской организации.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Помощь эвакуированным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numPr>
          <w:ilvl w:val="0"/>
          <w:numId w:val="27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люди селили беженцев у себя дома, делились едой и одеждой;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7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колхозы и предприятия брали на себя опеку над семьями военнослужащих.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Это был период, когда все общество стало единым организмом помощи. Самоорганизация шла от сердца, но была принята и поддержана государством.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sz w:val="28"/>
          <w:szCs w:val="28"/>
        </w:rPr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15. 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01078" cy="225048"/>
                <wp:effectExtent l="0" t="0" r="0" b="0"/>
                <wp:docPr id="7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01078" cy="2250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78.83pt;height:17.72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Какие формы добровольчества времен ВОВ можно считать актуальными и сегодня — при всей разнице в контексте?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(Ответы участников)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Примерные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ответы: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работа с беженцами, культурные мероприятия для бойцов, детское волонтерство, фандрайзинг).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Великая Отечественная война стала историческим подтверждением: волонтерство — ресурс не только гуманитарный, но и стратегический. Эти традиции сегодня возрождаются в новых условиях, включая СВО.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16. Преемственность традиций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Мы часто ищем вдохновение в прошлом. И видим: то, что делают люди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егодня, не ново, а имеет глубокие корни в народной памяти. Российское добровольчество прошло путь от тимуровцев к волонтерам из школ и колледжей, от кружков милосердия — к гуманитарным штабам. Важно, чтобы эта преемственность осознавалась и поддерживалась.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01078" cy="225048"/>
                <wp:effectExtent l="0" t="0" r="0" b="0"/>
                <wp:docPr id="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01078" cy="2250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78.83pt;height:17.72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Какие исторические формы добровольчества, на ваш взгляд, «переехали» в современность?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(Ответы участников)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Комментарий для лектора: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тимуровцы, школьные волонтеры; сборы на фронт, фандрайзинг; сестры милосердия, медработники-добровольцы и т. д.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Пример: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2022 году в Вологодской области школьники запустили проект «114 дел для тимуровцев» — помощь пожилым, сбор теплых вещей, поддержка семей мобилизованных. Проект поддержала администрация, и он стал региональным движением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0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Историческая память и личная вовлеченность — основа устойчивого добровольчества. Преемственность помогает не просто «помогать», а понимать, зачем и ради чего мы это делаем.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17. Направления волонтерства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 начала специальной военной операции волонтерская деятельность охватывала широкий спектр направлений — от социальной помощи до экологии, культуры и образования, формируя культуру участия и солидарности: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8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социальное волонтерство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— помощь пожилым, инвалидам, детям в трудной ситуации;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8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медицинское волонтерство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— донорство, помощь в поликлиниках, сопровождение;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8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экологическое волонтерство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— посадка деревьев, уборка, работа в природных парках;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8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культурное волонтерство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— содействие в проведении мероприятий, помощь в музеях, библиотеках;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8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образовательное волонтерство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— наставничество, репетиторство, кружки;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8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чрезвычайное волонтерство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— помощь при наводнениях, пожарах, эвакуациях;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8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цифровое волонтерство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— продвижение проектов, IT-помощь, работа с платформами.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720" w:firstLine="0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720" w:firstLine="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Слайд 18-19. Интерактив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31759" cy="285278"/>
                <wp:effectExtent l="0" t="0" r="0" b="0"/>
                <wp:docPr id="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131759" cy="28527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89.11pt;height:22.46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Угадай направление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29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Волонтеры организуют кружок по шахматам в детском доме. Какое это направление?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Ответ: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Образовательное волонтерство.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20-21. Интерактив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31759" cy="285278"/>
                <wp:effectExtent l="0" t="0" r="0" b="0"/>
                <wp:docPr id="1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5241220" name="image2.png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 rot="0" flipH="0" flipV="0">
                          <a:off x="0" y="0"/>
                          <a:ext cx="1131759" cy="28527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89.11pt;height:22.46pt;mso-wrap-distance-left:0.00pt;mso-wrap-distance-top:0.00pt;mso-wrap-distance-right:0.00pt;mso-wrap-distance-bottom:0.00pt;rotation:0;">
                <v:path textboxrect="0,0,0,0"/>
                <v:imagedata r:id="rId15" o:title=""/>
              </v:shape>
            </w:pict>
          </mc:Fallback>
        </mc:AlternateContent>
      </w:r>
      <w:r/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Угадай направление</w:t>
      </w:r>
      <w:r/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numPr>
          <w:ilvl w:val="0"/>
          <w:numId w:val="29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Группа помогает врачам оформлять документы и консультирует пожилых в поликлинике. Что это?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Ответ: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Медицинское и социальное волонтерство.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Пример: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Татарстане действует проект «Уроки Добра», где специально подготовленные волонтеры: тьюторы, учителя-дефектологи,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психологи —проводят занятия с целью развития инклюзивного общества. Такие занятия дают возможность вовлекать детей и подростков в добровольческую деятельность и развивать умение выстраивать коммуникацию с людьми, имеющими ограниченные возможности здоровья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1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Волон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терство — это школа гражданского взросления. Оно не только помогает окружающим, но и дает человеку ощущение значимости, вовлеченности в общее дело. Именно эта база позволяет обществу быстро мобилизоваться в период кризисов — как это произошло во время СВО.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22. Волонтерство в жизни общества после начала СВО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условиях СВО волонтерство адаптировалось к новым реалиям, приняв формы поддержки участников боевых действий, эвакуированных, мобилизованных, а также их семей — от гуманитарной помощи до информационного сопровождения.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Появились новые направления волонтерской деятельности: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30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гуманитарная помощь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— сбор и доставка продовольствия, одежды, медикаментов;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0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ручн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ой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труд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— вязание теплых вещей, пошив балаклав и аптечек, плетение маскировочных сетей;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0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логистика и транспорт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— перевозка грузов, сопровождение эвакуированных;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0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работа в ПВР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— помощь в пунктах временного размещения беженцев (еда, уборка, сопровождение);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0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информационная и психологическая поддержка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— горячие линии, юристы, психологи;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0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фандрайзинг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— сбор средств, организация онлайн-акций;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0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медиа и ИТ-волонтерство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— продвижение инициатив, ведение соцсетей, антикризисная коммуникация;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0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обучение и наставничество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— помощь детям мобилизованных, проведение кружков.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01078" cy="225048"/>
                <wp:effectExtent l="0" t="0" r="0" b="0"/>
                <wp:docPr id="1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01078" cy="2250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78.83pt;height:17.72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Какие из этих форм кажутся наиболее доступными лично для вас или ваших коллег по учреждению?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(Ответы участников)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Комментарий для лектора: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можно предложить выбрать 1–2 варианта, попросить поднять руки или написать на стикерах/в мессенджере.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89738" cy="229106"/>
                <wp:effectExtent l="0" t="0" r="0" b="0"/>
                <wp:docPr id="1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989738" cy="22910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77.93pt;height:18.04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Какие формы требуют координации с органами власти, а какие — возможны «снизу»?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(Ответы участников)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Пример: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Белгородской области действует волонтерский центр, где местные жительницы ежедневно вяжут носки и варежки, отправляя их бойцам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Центр сотрудничает с администрацией района, которая предоставляет помещения, логистику и расходные материалы.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Формы волонтерства в условиях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СВО разнообразны, и каждый человек может найти свою зону участия, будь то ручной труд, логистика, юридическая помощь или работа онлайн. Важно, чтобы органы власти понимали этот потенциал и создавали условия для безопасного и результативного взаимодействия.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Добровольческая помощь в условиях СВО развивается по многоуровневой модели — от гуманитарного и медицинского фронта до информационного сопровождения, взаимодействия с властями и адресной поддержки на местах.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1. Гуманитарная поддержка: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3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создание и работа гуманитарных складов (часто на базе НКО или религиозных общин);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сборы по заявкам: продукты, генераторы, аптечки;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сбор адресных посылок (индивидуальные запросы от бойцов и беженцев).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2. Фронтовое ремесло: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плетение маскировочных сетей по лекалам;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вязание теплых вещей;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производство буржуек, окопных свечей, подушек под бронежилеты;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пошив флагов, аптечек, шевронов.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3. Пункты временного размещения (ПВР):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волонтеры в роли регистраторов, сопровождающих, переводчиков;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организация детского досуга и школьного обучения;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работа со стрессом у переселенцев.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4. Психологическая и юридическая помощь: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5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«горячие линии» и чат-боты для поддержки;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5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психологи-добровольцы (в том числе онлайн);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5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разъяснение юридических процедур: выплаты, жилье, господдержка.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5. Семьи мобилизованных: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6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шефство над многодетными семьями;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6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сбор вещей к школе, проведение бесплатных секций;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6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помощь бабушкам, оставшимся с внуками.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6. Информационное волонтерство: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7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ведение соцсетей добровольческих штабов;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противодействие фейкам, сопровождение позитивных новостей;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онлайн-курсы 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медиаграмотности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речевому этикету в военное время.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7. Логистика и сопровождение грузов: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8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водители-волонтеры (в том числе на личных машинах);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8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координация маршрутов, оформление пропусков;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8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работа на складах и в сортировочных центрах.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8. Межрегиональные «цепочки помощи»: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9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сотрудничество между регионами (например, Пермь – Донецк);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9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объединение ресурсов для адресной доставки;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9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обмен дефицитами: где нет, туда направляют.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9. Инфраструктурная поддержка: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10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ремонт, восстановление.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10. Сбор средств на нужды фронта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10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только один фонд «За Победу», созданный в 2022 году, собрал более 23 млрд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руб</w:t>
      </w:r>
      <w:r>
        <w:rPr>
          <w:color w:val="000000"/>
          <w:vertAlign w:val="superscript"/>
        </w:rPr>
        <w:footnoteReference w:id="23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0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февраля 2022 года на форумах #МЫВМЕСТЕ собраны десятки тысяч тонн гуманитарной помощи</w:t>
      </w:r>
      <w:r>
        <w:rPr>
          <w:color w:val="000000"/>
          <w:vertAlign w:val="superscript"/>
        </w:rPr>
        <w:footnoteReference w:id="24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Многие из этих направлений возникали не «сверху», а «снизу» — из чувства личной ответственности.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 сегодня без координации, технологической поддержки и юридической защиты такие действия быстро сталкиваются с перегрузкой. Задача органов власти — не заменять волонтеров, а создавать инфраструктуру, в которой они могут действовать безопасно и эффективно.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01078" cy="225048"/>
                <wp:effectExtent l="0" t="0" r="0" b="0"/>
                <wp:docPr id="1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01078" cy="2250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78.83pt;height:17.72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вы считаете, какое из направлений требует наибольшей поддержки от властей в вашем регионе?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(Ответы участников)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Комментарий для лектора: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можно предложить участникам выбрать 1–2 пункта и пояснить.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лонтерская деятельность в условиях СВО — это многослойная, устойчивая и развивающаяся экосистема, которую важно не только поддерживать, но и институционализировать. Особенно в вопросах логистики, правовой защиты и психологической устойчивости добровольцев.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23. Кто может участвовать и как начать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Волонтером может стать любой взрослый человек — вне зависимости от профессии, возраста и занятости. Важно желание, готовность учиться и взаимодействовать с координационными центрами.</w:t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01078" cy="225048"/>
                <wp:effectExtent l="0" t="0" r="0" b="0"/>
                <wp:docPr id="1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01078" cy="2250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78.83pt;height:17.72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вы считаете, какие барьеры чаще всего мешают взрослому человеку включиться в волонтерство?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(Ответы участников)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Комментарий для лектора: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ответы можно обсудить с залом. Например, нехватка времени, отсутствие информации, страх, что «не справлюсь».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01078" cy="225048"/>
                <wp:effectExtent l="0" t="0" r="0" b="0"/>
                <wp:docPr id="1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01078" cy="2250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78.83pt;height:17.72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 может сделать орган власти, чтобы таких барьеров было меньше?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(Ответы участников)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Пример: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Красноярском крае участники проекта «Серебряные волонтеры!»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5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возрасте от 55 лет и старше активно участвуют в деятельности, направленной на решение актуальных социальных, проблем в обществе.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Важно понимать: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чтобы стать волонтером, достаточно быть рядом — в прямом или переносном смысле. А органы власти могут сыграть ключевую роль, устраняя барьеры, организуя поддержку и направляя ресурсы в нужном направлении.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24. Мотивация добровольцев: зачем люди помогают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Волонтерство — это не работа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расписанию. Это — выбор. Часто он связан с личным опытом: кто-то потерял близкого, кто-то вырос в семье, где помогали другим, кто-то чувствует долг перед страной. Мотивация может быть разной, но объединяет одно — искреннее желание не остаться в стороне.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данным опроса ВЦИОМ и РО «Знание», 92%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6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активных добровольцев мотивированы не деньгами или карьерой, а желанием «быть полезными» и «делать то, что важно». У многих — внутренняя потребность действовать, не ждать указаний сверху.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01078" cy="225048"/>
                <wp:effectExtent l="0" t="0" r="0" b="0"/>
                <wp:docPr id="1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01078" cy="2250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78.83pt;height:17.72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вы думаете, какие мотивы чаще всего движут людьми в вашем регионе: эмпатия, патриотизм, семейный пример, вера или другие?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(Ответы участников)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01078" cy="225048"/>
                <wp:effectExtent l="0" t="0" r="0" b="0"/>
                <wp:docPr id="17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01078" cy="225048"/>
                        </a:xfrm>
                        <a:prstGeom prst="rect">
                          <a:avLst/>
                        </a:prstGeom>
                        <a:ln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78.83pt;height:17.72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Знаете ли вы людей, которые начали помогать после начала СВО, хотя раньше не участвовали в добровольчестве? Почему, как вам кажется, они изменились?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(Ответы участников)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Мотивация — это топливо добровольчества. Если государство хочет поддержать волонтеров, то нужно понимать их ценности, говорить на одном языке и уважать внутренний выбор, который они делают каждый день.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25. Роль государства в поддержке волонтерства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Мы ча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сто говорим о гражданской инициативе, но без поддержки «сверху» эта инициатива натыкается на ограничения. Когда администрация не мешает, уже хорошо. Когда помогает — отлично. А когда выстраивает системное взаимодействие — это дает масштабируемый результат.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01078" cy="225048"/>
                <wp:effectExtent l="0" t="0" r="0" b="0"/>
                <wp:docPr id="1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01078" cy="2250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78.83pt;height:17.72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Какие формы поддержки волонтерства уже реализуются в вашем учреждении или на уровне региона?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(Ответы участников)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Комментарий для лектора: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можно обсудить разные темы — от сотрудничества с НКО до предоставления транспорта или координации при эвакуации.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01078" cy="225048"/>
                <wp:effectExtent l="0" t="0" r="0" b="0"/>
                <wp:docPr id="19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01078" cy="2250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78.83pt;height:17.72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Чего, на ваш взгляд, пока не хватает в поддержке добровольцев со стороны власти?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(Ответы участников)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Пример: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Тюменской области при правительстве действует Координационный центр добровольчества, куда входят представители органов власти, НКО, МЧС, образования и здравоохранения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7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Это позволяет оперативно решать задачи — от эвакуации людей до организации курсов психологической разгрузки для волонтеров.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Волонтерство в условиях СВО — это общая задача, и именно органы власти могут задать тон: создать доверие, снизить барьеры и превратить энергию граждан в организованную помощь.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26. Взаимодействие с НКО и бизнесом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Формы взаимодействия: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tbl>
      <w:tblPr>
        <w:tblStyle w:val="1339"/>
        <w:tblW w:w="957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400" w:firstRow="0" w:lastRow="0" w:firstColumn="0" w:lastColumn="0" w:noHBand="0" w:noVBand="1"/>
      </w:tblPr>
      <w:tblGrid>
        <w:gridCol w:w="2685"/>
        <w:gridCol w:w="2535"/>
        <w:gridCol w:w="4350"/>
      </w:tblGrid>
      <w:tr>
        <w:tblPrEx/>
        <w:trPr>
          <w:tblHeader/>
        </w:trPr>
        <w:tc>
          <w:tcPr>
            <w:tcW w:w="2685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Направление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2535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НКО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4350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Бизнес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6" w:type="dxa"/>
              <w:top w:w="56" w:type="dxa"/>
              <w:right w:w="56" w:type="dxa"/>
              <w:bottom w:w="56" w:type="dxa"/>
            </w:tcMar>
            <w:tcW w:w="2685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Логистика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Mar>
              <w:left w:w="56" w:type="dxa"/>
              <w:top w:w="56" w:type="dxa"/>
              <w:right w:w="56" w:type="dxa"/>
              <w:bottom w:w="56" w:type="dxa"/>
            </w:tcMar>
            <w:tcW w:w="2535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Координация маршрутов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Mar>
              <w:left w:w="56" w:type="dxa"/>
              <w:top w:w="56" w:type="dxa"/>
              <w:right w:w="56" w:type="dxa"/>
              <w:bottom w:w="56" w:type="dxa"/>
            </w:tcMar>
            <w:tcW w:w="4350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Предоставление транспорта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6" w:type="dxa"/>
              <w:top w:w="56" w:type="dxa"/>
              <w:right w:w="56" w:type="dxa"/>
              <w:bottom w:w="56" w:type="dxa"/>
            </w:tcMar>
            <w:tcW w:w="2685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Финансовая поддержка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Mar>
              <w:left w:w="56" w:type="dxa"/>
              <w:top w:w="56" w:type="dxa"/>
              <w:right w:w="56" w:type="dxa"/>
              <w:bottom w:w="56" w:type="dxa"/>
            </w:tcMar>
            <w:tcW w:w="2535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Краудфандинг, гранты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Mar>
              <w:left w:w="56" w:type="dxa"/>
              <w:top w:w="56" w:type="dxa"/>
              <w:right w:w="56" w:type="dxa"/>
              <w:bottom w:w="56" w:type="dxa"/>
            </w:tcMar>
            <w:tcW w:w="4350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Прямое финансирование, благотворительность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6" w:type="dxa"/>
              <w:top w:w="56" w:type="dxa"/>
              <w:right w:w="56" w:type="dxa"/>
              <w:bottom w:w="56" w:type="dxa"/>
            </w:tcMar>
            <w:tcW w:w="2685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Информационная поддержка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Mar>
              <w:left w:w="56" w:type="dxa"/>
              <w:top w:w="56" w:type="dxa"/>
              <w:right w:w="56" w:type="dxa"/>
              <w:bottom w:w="56" w:type="dxa"/>
            </w:tcMar>
            <w:tcW w:w="2535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Платформы, соцсети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Mar>
              <w:left w:w="56" w:type="dxa"/>
              <w:top w:w="56" w:type="dxa"/>
              <w:right w:w="56" w:type="dxa"/>
              <w:bottom w:w="56" w:type="dxa"/>
            </w:tcMar>
            <w:tcW w:w="4350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Медиаресурсы, интеграция в PR-кампании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6" w:type="dxa"/>
              <w:top w:w="56" w:type="dxa"/>
              <w:right w:w="56" w:type="dxa"/>
              <w:bottom w:w="56" w:type="dxa"/>
            </w:tcMar>
            <w:tcW w:w="2685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Материальные ресурсы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Mar>
              <w:left w:w="56" w:type="dxa"/>
              <w:top w:w="56" w:type="dxa"/>
              <w:right w:w="56" w:type="dxa"/>
              <w:bottom w:w="56" w:type="dxa"/>
            </w:tcMar>
            <w:tcW w:w="2535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Партнерства с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Mar>
              <w:left w:w="56" w:type="dxa"/>
              <w:top w:w="56" w:type="dxa"/>
              <w:right w:w="56" w:type="dxa"/>
              <w:bottom w:w="56" w:type="dxa"/>
            </w:tcMar>
            <w:tcW w:w="4350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Производство, складирование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6" w:type="dxa"/>
              <w:top w:w="56" w:type="dxa"/>
              <w:right w:w="56" w:type="dxa"/>
              <w:bottom w:w="56" w:type="dxa"/>
            </w:tcMar>
            <w:tcW w:w="2685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Обучение добровольцев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Mar>
              <w:left w:w="56" w:type="dxa"/>
              <w:top w:w="56" w:type="dxa"/>
              <w:right w:w="56" w:type="dxa"/>
              <w:bottom w:w="56" w:type="dxa"/>
            </w:tcMar>
            <w:tcW w:w="2535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Тренинги, наставничество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Mar>
              <w:left w:w="56" w:type="dxa"/>
              <w:top w:w="56" w:type="dxa"/>
              <w:right w:w="56" w:type="dxa"/>
              <w:bottom w:w="56" w:type="dxa"/>
            </w:tcMar>
            <w:tcW w:w="4350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Корпоративные обучающие программы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НКО обладают опытом, репутацией и гибкостью, а бизнес — ресурсами и технологиями. Вместе они могут быстро реагировать на кризис, не дублируя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усилия государства. В условиях СВО особенно важна логистическая поддержка и обучение волонтеров: здесь участие частного сектора — решающее.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01078" cy="225048"/>
                <wp:effectExtent l="0" t="0" r="0" b="0"/>
                <wp:docPr id="20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01078" cy="22504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78.83pt;height:17.72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Какие местные НКО и бизнес-структуры в вашем регионе уже участвуют в помощи? Какие из них могли бы быть привлечены активнее?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(Ответы участников)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Партнерство государства, НКО и бизнеса — это «треугольник устойчивости» гражданской взаимопомощи. В условиях СВО именно такое взаимодействие позволяет не допустить перегрузки ни одной из сторон и сделать помощь адресной, своевременной и профессиональной.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pStyle w:val="1130"/>
        <w:ind w:firstLine="709"/>
        <w:jc w:val="both"/>
        <w:spacing w:before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27. Волонтерство — результат осознанного выбора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Закрепившееся в 1990-е годы официальное понимание волонтерской деятельности подтвердило и на законодательном уровне зафиксировало важность добровольчества в России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8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Волонтерское движение продолжает расширятьс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я: новые направления деятельности, увеличение добровольцев, желающих внести вклад в благотворительную деятельность и оказывать безвозмездную помощь людям, которые в этом нуждаются, рост количества организаций, готовых заниматься волонтерской деятельностью.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Результаты, представленные в цифрах, поражают и восхищают, потому что в очередной раз демонстрируют важную черту национального характера — стремление людей помогать другим.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Четверть населения России занимается волонтерской деятельностью. Наше государство по праву можно назвать страной добровольцев. Это подчеркнул и президент России Владимир Путин: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«Четверть наших граждан,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25% нашей страны, объединяются в организации, а их свыше 100 тысяч, которые работают как с добровольцами и волонтерами»</w:t>
      </w:r>
      <w:r>
        <w:rPr>
          <w:rFonts w:ascii="Times New Roman" w:hAnsi="Times New Roman" w:eastAsia="Times New Roman" w:cs="Times New Roman"/>
          <w:i/>
          <w:sz w:val="28"/>
          <w:szCs w:val="28"/>
          <w:vertAlign w:val="superscript"/>
        </w:rPr>
        <w:footnoteReference w:id="29"/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России на сегодняшний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день существует множество возможностей для людей, готовых помогать окружающим и принимать участие в волонтерской деятельности. Каждый желающий может выбрать то направление, которое позволит ему заниматься интересным, полезным и общественно значимым делом.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131"/>
        <w:ind w:firstLine="708"/>
        <w:jc w:val="both"/>
        <w:spacing w:before="0" w:line="360" w:lineRule="auto"/>
        <w:rPr>
          <w:b/>
          <w:color w:val="000000"/>
          <w:sz w:val="28"/>
          <w:szCs w:val="28"/>
        </w:rPr>
      </w:pPr>
      <w:r/>
      <w:bookmarkStart w:id="0" w:name="_heading=h.ym5trhwv9ipp"/>
      <w:r/>
      <w:bookmarkEnd w:id="0"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28. Обратная связь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Спасибо за участие в лекции!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Чтобы понять, была ли информация для вас полезна и интересна, прошу всех отсканировать QR-код, который вы видите на экране, и ответить на несколько коротких вопросов о выступлении: нам очень важно ваше мнение!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29. Полезные ссылки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1134" w:bottom="1134" w:left="1134" w:header="708" w:footer="708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/>
  <w:font w:name="Georgia">
    <w:panose1 w:val="02040503050406030204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  <w:fldChar w:fldCharType="begin"/>
    </w:r>
    <w:r>
      <w:rPr>
        <w:rFonts w:ascii="Times New Roman" w:hAnsi="Times New Roman" w:eastAsia="Times New Roman" w:cs="Times New Roman"/>
        <w:sz w:val="28"/>
        <w:szCs w:val="28"/>
      </w:rPr>
      <w:instrText xml:space="preserve">PAGE</w:instrText>
    </w:r>
    <w:r>
      <w:rPr>
        <w:rFonts w:ascii="Times New Roman" w:hAnsi="Times New Roman" w:eastAsia="Times New Roman" w:cs="Times New Roman"/>
        <w:sz w:val="28"/>
        <w:szCs w:val="28"/>
      </w:rPr>
      <w:fldChar w:fldCharType="separate"/>
    </w:r>
    <w:r>
      <w:rPr>
        <w:rFonts w:ascii="Times New Roman" w:hAnsi="Times New Roman" w:eastAsia="Times New Roman" w:cs="Times New Roman"/>
        <w:sz w:val="28"/>
        <w:szCs w:val="28"/>
      </w:rPr>
      <w:t xml:space="preserve">2</w:t>
    </w:r>
    <w:r>
      <w:rPr>
        <w:rFonts w:ascii="Times New Roman" w:hAnsi="Times New Roman" w:eastAsia="Times New Roman" w:cs="Times New Roman"/>
        <w:sz w:val="28"/>
        <w:szCs w:val="28"/>
      </w:rPr>
      <w:fldChar w:fldCharType="end"/>
    </w:r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eastAsia="Times New Roman" w:cs="Times New Roman"/>
        <w:sz w:val="28"/>
        <w:szCs w:val="28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https://topwar.ru/170924-vse-dlja-fronta-vse-dlja-pobedy.html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3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https://xn--b1agazb5ah1e.xn--p1ai/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humanitarian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4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https://iz.ru/1714309/2024-06-18/fond-vse-dlia-pobedy-sobral-bolee-14-mlrd-rublei-na-nuzhdy-uchastnikov-svo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5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https://tass.ru/obschestvo/17122401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6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https://iz.ru/1916493/vasilisa-iaseneva/dlia-mira-po-nitke-rossiiane-sobrali-bolee-54-mlrd-rublei-na-podderzhku-svo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7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https://rossaprimavera.ru/news/fb9fb3d4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8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https://www.pnp.ru/social/bolee-tysyachi-punktov-vremennogo-razmeshheniya-otkryto-dlya-zhiteley-novykh-regionov.html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9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https://vz.ru/news/2023/5/19/1212750.html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0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https://ugra-news.ru/article/itogi_svo_76_rossiyan_odobryayut_deyatelnost_putina/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1">
    <w:p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Источник: </w:t>
      </w:r>
      <w:hyperlink r:id="rId1" w:tooltip="https://nko.economy.gov.ru/upload/docs/doklad-za-2024-god.pdf" w:history="1">
        <w:r>
          <w:rPr>
            <w:rFonts w:ascii="Times New Roman" w:hAnsi="Times New Roman" w:eastAsia="Times New Roman" w:cs="Times New Roman"/>
            <w:color w:val="1155cc"/>
            <w:sz w:val="16"/>
            <w:szCs w:val="16"/>
            <w:u w:val="single"/>
          </w:rPr>
          <w:t xml:space="preserve">https://nko.economy.gov.ru/upload/docs/doklad-za-2024-god.pdf</w:t>
        </w:r>
      </w:hyperlink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12">
    <w:p>
      <w:pPr>
        <w:spacing w:after="40" w:line="240" w:lineRule="auto"/>
        <w:rPr>
          <w:rFonts w:ascii="Times New Roman" w:hAnsi="Times New Roman" w:eastAsia="Times New Roman" w:cs="Times New Roman"/>
          <w:color w:val="000000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 Источник: </w:t>
      </w:r>
      <w:hyperlink r:id="rId2" w:tooltip="https://wciom.ru/analytical-reviews/analiticheskii-obzor/volonterstvo-v-rossii-monitoring" w:history="1">
        <w:r>
          <w:rPr>
            <w:rFonts w:ascii="Times New Roman" w:hAnsi="Times New Roman" w:eastAsia="Times New Roman" w:cs="Times New Roman"/>
            <w:color w:val="0563c1"/>
            <w:sz w:val="16"/>
            <w:szCs w:val="16"/>
            <w:u w:val="single"/>
          </w:rPr>
          <w:t xml:space="preserve">https://wciom.ru/analytical-reviews/analiticheskii-obzor/volonterstvo-v-rossii-monitoring</w:t>
        </w:r>
      </w:hyperlink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</w:footnote>
  <w:footnote w:id="13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https://polbin.mskobr.ru/attach_files/upload_users_files/5fdc705d23dc7.pdf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4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https://sn.ria.ru/20180828/1527202821.html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5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https://xn----ctbhcbtapdmikb4a2a0m.xn--p1ai/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news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/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myivmeste-kak-volonterstvo-stalo-populyarnyim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6">
    <w:p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Источник:https://www.ist-konkurs.ru/raboty/2008/1086-dobrovolcheskij-trud-v-istorii-rossii</w:t>
      </w:r>
      <w:r>
        <w:rPr>
          <w:sz w:val="20"/>
          <w:szCs w:val="20"/>
        </w:rPr>
      </w:r>
      <w:r>
        <w:rPr>
          <w:sz w:val="20"/>
          <w:szCs w:val="20"/>
        </w:rPr>
      </w:r>
    </w:p>
  </w:footnote>
  <w:footnote w:id="17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Источник: </w:t>
      </w:r>
      <w:hyperlink r:id="rId3" w:tooltip="https://rg.ru/2020/03/07/kolonna-dmitr...ankov.html" w:history="1">
        <w:r>
          <w:rPr>
            <w:rFonts w:ascii="Times New Roman" w:hAnsi="Times New Roman" w:eastAsia="Times New Roman" w:cs="Times New Roman"/>
            <w:color w:val="0563c1"/>
            <w:sz w:val="20"/>
            <w:szCs w:val="20"/>
            <w:u w:val="single"/>
          </w:rPr>
          <w:t xml:space="preserve">https://rg.ru/2020/03/07/kolonna-dmitr...ankov.html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8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https://archive.aif.ru/archive/1717683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19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https://elar.urfu.ru/bitstream/10995/42327/1/978-5-7996-1865-0_2016_61.pdf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20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Источник: https://dobro.ru/project/1705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21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Источник: https://dobro.ru/event/10975774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22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Источник: https://belgorodtv.ru/?p=271191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23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Источник: https://pobeda.onf.ru/news/newstrigodavdp2606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24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https://xn--b1agazb5ah1e.xn--p1ai/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humanitarian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25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Источник: https://dobro.ru/project/17925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26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https://www.gazeta.ru/social/2025/07/19/21395432.shtml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27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Источник: https://dobro.ru/organizations/47/info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28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https://tass.ru/info/5870697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  <w:footnote w:id="29"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Источник: https://ria.ru/20231204/volontery-1913691557.html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76" w:lineRule="auto"/>
    </w:pPr>
    <w:r>
      <w:rPr>
        <w:rFonts w:ascii="Arial" w:hAnsi="Arial" w:eastAsia="Arial" w:cs="Ari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76" w:lineRule="auto"/>
    </w:pPr>
    <w:r>
      <w:rPr>
        <w:rFonts w:ascii="Arial" w:hAnsi="Arial" w:eastAsia="Arial" w:cs="Ari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6"/>
  </w:num>
  <w:num w:numId="2">
    <w:abstractNumId w:val="20"/>
  </w:num>
  <w:num w:numId="3">
    <w:abstractNumId w:val="26"/>
  </w:num>
  <w:num w:numId="4">
    <w:abstractNumId w:val="13"/>
  </w:num>
  <w:num w:numId="5">
    <w:abstractNumId w:val="2"/>
  </w:num>
  <w:num w:numId="6">
    <w:abstractNumId w:val="17"/>
  </w:num>
  <w:num w:numId="7">
    <w:abstractNumId w:val="8"/>
  </w:num>
  <w:num w:numId="8">
    <w:abstractNumId w:val="1"/>
  </w:num>
  <w:num w:numId="9">
    <w:abstractNumId w:val="5"/>
  </w:num>
  <w:num w:numId="10">
    <w:abstractNumId w:val="4"/>
  </w:num>
  <w:num w:numId="11">
    <w:abstractNumId w:val="19"/>
  </w:num>
  <w:num w:numId="12">
    <w:abstractNumId w:val="7"/>
  </w:num>
  <w:num w:numId="13">
    <w:abstractNumId w:val="25"/>
  </w:num>
  <w:num w:numId="14">
    <w:abstractNumId w:val="28"/>
  </w:num>
  <w:num w:numId="15">
    <w:abstractNumId w:val="18"/>
  </w:num>
  <w:num w:numId="16">
    <w:abstractNumId w:val="10"/>
  </w:num>
  <w:num w:numId="17">
    <w:abstractNumId w:val="22"/>
  </w:num>
  <w:num w:numId="18">
    <w:abstractNumId w:val="16"/>
  </w:num>
  <w:num w:numId="19">
    <w:abstractNumId w:val="11"/>
  </w:num>
  <w:num w:numId="20">
    <w:abstractNumId w:val="30"/>
  </w:num>
  <w:num w:numId="21">
    <w:abstractNumId w:val="27"/>
  </w:num>
  <w:num w:numId="22">
    <w:abstractNumId w:val="29"/>
  </w:num>
  <w:num w:numId="23">
    <w:abstractNumId w:val="23"/>
  </w:num>
  <w:num w:numId="24">
    <w:abstractNumId w:val="24"/>
  </w:num>
  <w:num w:numId="25">
    <w:abstractNumId w:val="0"/>
  </w:num>
  <w:num w:numId="26">
    <w:abstractNumId w:val="12"/>
  </w:num>
  <w:num w:numId="27">
    <w:abstractNumId w:val="3"/>
  </w:num>
  <w:num w:numId="28">
    <w:abstractNumId w:val="9"/>
  </w:num>
  <w:num w:numId="29">
    <w:abstractNumId w:val="14"/>
  </w:num>
  <w:num w:numId="30">
    <w:abstractNumId w:val="15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112">
    <w:name w:val="Heading 1 Char"/>
    <w:basedOn w:val="1139"/>
    <w:link w:val="1130"/>
    <w:uiPriority w:val="9"/>
    <w:rPr>
      <w:rFonts w:ascii="Arial" w:hAnsi="Arial" w:eastAsia="Arial" w:cs="Arial"/>
      <w:sz w:val="40"/>
      <w:szCs w:val="40"/>
    </w:rPr>
  </w:style>
  <w:style w:type="character" w:styleId="1113">
    <w:name w:val="Heading 2 Char"/>
    <w:basedOn w:val="1139"/>
    <w:link w:val="1131"/>
    <w:uiPriority w:val="9"/>
    <w:rPr>
      <w:rFonts w:ascii="Arial" w:hAnsi="Arial" w:eastAsia="Arial" w:cs="Arial"/>
      <w:sz w:val="34"/>
    </w:rPr>
  </w:style>
  <w:style w:type="character" w:styleId="1114">
    <w:name w:val="Heading 3 Char"/>
    <w:basedOn w:val="1139"/>
    <w:link w:val="1132"/>
    <w:uiPriority w:val="9"/>
    <w:rPr>
      <w:rFonts w:ascii="Arial" w:hAnsi="Arial" w:eastAsia="Arial" w:cs="Arial"/>
      <w:sz w:val="30"/>
      <w:szCs w:val="30"/>
    </w:rPr>
  </w:style>
  <w:style w:type="character" w:styleId="1115">
    <w:name w:val="Heading 4 Char"/>
    <w:basedOn w:val="1139"/>
    <w:link w:val="1133"/>
    <w:uiPriority w:val="9"/>
    <w:rPr>
      <w:rFonts w:ascii="Arial" w:hAnsi="Arial" w:eastAsia="Arial" w:cs="Arial"/>
      <w:b/>
      <w:bCs/>
      <w:sz w:val="26"/>
      <w:szCs w:val="26"/>
    </w:rPr>
  </w:style>
  <w:style w:type="character" w:styleId="1116">
    <w:name w:val="Heading 5 Char"/>
    <w:basedOn w:val="1139"/>
    <w:link w:val="1134"/>
    <w:uiPriority w:val="9"/>
    <w:rPr>
      <w:rFonts w:ascii="Arial" w:hAnsi="Arial" w:eastAsia="Arial" w:cs="Arial"/>
      <w:b/>
      <w:bCs/>
      <w:sz w:val="24"/>
      <w:szCs w:val="24"/>
    </w:rPr>
  </w:style>
  <w:style w:type="character" w:styleId="1117">
    <w:name w:val="Heading 6 Char"/>
    <w:basedOn w:val="1139"/>
    <w:link w:val="1135"/>
    <w:uiPriority w:val="9"/>
    <w:rPr>
      <w:rFonts w:ascii="Arial" w:hAnsi="Arial" w:eastAsia="Arial" w:cs="Arial"/>
      <w:b/>
      <w:bCs/>
      <w:sz w:val="22"/>
      <w:szCs w:val="22"/>
    </w:rPr>
  </w:style>
  <w:style w:type="character" w:styleId="1118">
    <w:name w:val="Heading 7 Char"/>
    <w:basedOn w:val="1139"/>
    <w:link w:val="113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119">
    <w:name w:val="Heading 8 Char"/>
    <w:basedOn w:val="1139"/>
    <w:link w:val="1137"/>
    <w:uiPriority w:val="9"/>
    <w:rPr>
      <w:rFonts w:ascii="Arial" w:hAnsi="Arial" w:eastAsia="Arial" w:cs="Arial"/>
      <w:i/>
      <w:iCs/>
      <w:sz w:val="22"/>
      <w:szCs w:val="22"/>
    </w:rPr>
  </w:style>
  <w:style w:type="character" w:styleId="1120">
    <w:name w:val="Heading 9 Char"/>
    <w:basedOn w:val="1139"/>
    <w:link w:val="1138"/>
    <w:uiPriority w:val="9"/>
    <w:rPr>
      <w:rFonts w:ascii="Arial" w:hAnsi="Arial" w:eastAsia="Arial" w:cs="Arial"/>
      <w:i/>
      <w:iCs/>
      <w:sz w:val="21"/>
      <w:szCs w:val="21"/>
    </w:rPr>
  </w:style>
  <w:style w:type="character" w:styleId="1121">
    <w:name w:val="Title Char"/>
    <w:basedOn w:val="1139"/>
    <w:link w:val="1143"/>
    <w:uiPriority w:val="10"/>
    <w:rPr>
      <w:sz w:val="48"/>
      <w:szCs w:val="48"/>
    </w:rPr>
  </w:style>
  <w:style w:type="character" w:styleId="1122">
    <w:name w:val="Subtitle Char"/>
    <w:basedOn w:val="1139"/>
    <w:link w:val="1338"/>
    <w:uiPriority w:val="11"/>
    <w:rPr>
      <w:sz w:val="24"/>
      <w:szCs w:val="24"/>
    </w:rPr>
  </w:style>
  <w:style w:type="character" w:styleId="1123">
    <w:name w:val="Quote Char"/>
    <w:link w:val="1156"/>
    <w:uiPriority w:val="29"/>
    <w:rPr>
      <w:i/>
    </w:rPr>
  </w:style>
  <w:style w:type="character" w:styleId="1124">
    <w:name w:val="Intense Quote Char"/>
    <w:link w:val="1158"/>
    <w:uiPriority w:val="30"/>
    <w:rPr>
      <w:i/>
    </w:rPr>
  </w:style>
  <w:style w:type="character" w:styleId="1125">
    <w:name w:val="Header Char"/>
    <w:basedOn w:val="1139"/>
    <w:link w:val="1160"/>
    <w:uiPriority w:val="99"/>
  </w:style>
  <w:style w:type="character" w:styleId="1126">
    <w:name w:val="Caption Char"/>
    <w:basedOn w:val="1164"/>
    <w:link w:val="1162"/>
    <w:uiPriority w:val="99"/>
  </w:style>
  <w:style w:type="character" w:styleId="1127">
    <w:name w:val="Footnote Text Char"/>
    <w:link w:val="1292"/>
    <w:uiPriority w:val="99"/>
    <w:rPr>
      <w:sz w:val="18"/>
    </w:rPr>
  </w:style>
  <w:style w:type="character" w:styleId="1128">
    <w:name w:val="Endnote Text Char"/>
    <w:link w:val="1295"/>
    <w:uiPriority w:val="99"/>
    <w:rPr>
      <w:sz w:val="20"/>
    </w:rPr>
  </w:style>
  <w:style w:type="paragraph" w:styleId="1129" w:default="1">
    <w:name w:val="Normal"/>
    <w:qFormat/>
  </w:style>
  <w:style w:type="paragraph" w:styleId="1130">
    <w:name w:val="Heading 1"/>
    <w:basedOn w:val="1129"/>
    <w:next w:val="1129"/>
    <w:uiPriority w:val="9"/>
    <w:qFormat/>
    <w:pPr>
      <w:keepLines/>
      <w:keepNext/>
      <w:spacing w:before="240" w:after="0"/>
      <w:outlineLvl w:val="0"/>
    </w:pPr>
    <w:rPr>
      <w:color w:val="2e75b5"/>
      <w:sz w:val="32"/>
      <w:szCs w:val="32"/>
    </w:rPr>
  </w:style>
  <w:style w:type="paragraph" w:styleId="1131">
    <w:name w:val="Heading 2"/>
    <w:basedOn w:val="1129"/>
    <w:next w:val="1129"/>
    <w:uiPriority w:val="9"/>
    <w:unhideWhenUsed/>
    <w:qFormat/>
    <w:pPr>
      <w:keepLines/>
      <w:keepNext/>
      <w:spacing w:before="40" w:after="0"/>
      <w:outlineLvl w:val="1"/>
    </w:pPr>
    <w:rPr>
      <w:color w:val="2e75b5"/>
      <w:sz w:val="26"/>
      <w:szCs w:val="26"/>
    </w:rPr>
  </w:style>
  <w:style w:type="paragraph" w:styleId="1132">
    <w:name w:val="Heading 3"/>
    <w:basedOn w:val="1129"/>
    <w:next w:val="1129"/>
    <w:uiPriority w:val="9"/>
    <w:semiHidden/>
    <w:unhideWhenUsed/>
    <w:qFormat/>
    <w:pPr>
      <w:keepLines/>
      <w:keepNext/>
      <w:spacing w:before="40" w:after="0"/>
      <w:outlineLvl w:val="2"/>
    </w:pPr>
    <w:rPr>
      <w:color w:val="1e4d78"/>
      <w:sz w:val="24"/>
      <w:szCs w:val="24"/>
    </w:rPr>
  </w:style>
  <w:style w:type="paragraph" w:styleId="1133">
    <w:name w:val="Heading 4"/>
    <w:basedOn w:val="1129"/>
    <w:next w:val="1129"/>
    <w:uiPriority w:val="9"/>
    <w:semiHidden/>
    <w:unhideWhenUsed/>
    <w:qFormat/>
    <w:pPr>
      <w:keepLines/>
      <w:keepNext/>
      <w:spacing w:before="40" w:after="0"/>
      <w:outlineLvl w:val="3"/>
    </w:pPr>
    <w:rPr>
      <w:i/>
      <w:color w:val="2e75b5"/>
    </w:rPr>
  </w:style>
  <w:style w:type="paragraph" w:styleId="1134">
    <w:name w:val="Heading 5"/>
    <w:basedOn w:val="1129"/>
    <w:next w:val="1129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1135">
    <w:name w:val="Heading 6"/>
    <w:basedOn w:val="1129"/>
    <w:next w:val="1129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1136">
    <w:name w:val="Heading 7"/>
    <w:link w:val="115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1137">
    <w:name w:val="Heading 8"/>
    <w:link w:val="11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1138">
    <w:name w:val="Heading 9"/>
    <w:link w:val="115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139" w:default="1">
    <w:name w:val="Default Paragraph Font"/>
    <w:uiPriority w:val="1"/>
    <w:semiHidden/>
    <w:unhideWhenUsed/>
  </w:style>
  <w:style w:type="table" w:styleId="11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41" w:default="1">
    <w:name w:val="No List"/>
    <w:uiPriority w:val="99"/>
    <w:semiHidden/>
    <w:unhideWhenUsed/>
  </w:style>
  <w:style w:type="table" w:styleId="1142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1143">
    <w:name w:val="Title"/>
    <w:basedOn w:val="1129"/>
    <w:next w:val="1129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character" w:styleId="1144" w:customStyle="1">
    <w:name w:val="Заголовок 1 Знак1"/>
    <w:basedOn w:val="1139"/>
    <w:uiPriority w:val="9"/>
    <w:rPr>
      <w:rFonts w:ascii="Arial" w:hAnsi="Arial" w:eastAsia="Arial" w:cs="Arial"/>
      <w:sz w:val="40"/>
      <w:szCs w:val="40"/>
    </w:rPr>
  </w:style>
  <w:style w:type="character" w:styleId="1145" w:customStyle="1">
    <w:name w:val="Заголовок 2 Знак1"/>
    <w:basedOn w:val="1139"/>
    <w:uiPriority w:val="9"/>
    <w:rPr>
      <w:rFonts w:ascii="Arial" w:hAnsi="Arial" w:eastAsia="Arial" w:cs="Arial"/>
      <w:sz w:val="34"/>
    </w:rPr>
  </w:style>
  <w:style w:type="character" w:styleId="1146" w:customStyle="1">
    <w:name w:val="Заголовок 3 Знак1"/>
    <w:basedOn w:val="1139"/>
    <w:uiPriority w:val="9"/>
    <w:rPr>
      <w:rFonts w:ascii="Arial" w:hAnsi="Arial" w:eastAsia="Arial" w:cs="Arial"/>
      <w:sz w:val="30"/>
      <w:szCs w:val="30"/>
    </w:rPr>
  </w:style>
  <w:style w:type="character" w:styleId="1147" w:customStyle="1">
    <w:name w:val="Заголовок 4 Знак1"/>
    <w:basedOn w:val="1139"/>
    <w:uiPriority w:val="9"/>
    <w:rPr>
      <w:rFonts w:ascii="Arial" w:hAnsi="Arial" w:eastAsia="Arial" w:cs="Arial"/>
      <w:b/>
      <w:bCs/>
      <w:sz w:val="26"/>
      <w:szCs w:val="26"/>
    </w:rPr>
  </w:style>
  <w:style w:type="character" w:styleId="1148" w:customStyle="1">
    <w:name w:val="Заголовок 5 Знак"/>
    <w:basedOn w:val="1139"/>
    <w:uiPriority w:val="9"/>
    <w:rPr>
      <w:rFonts w:ascii="Arial" w:hAnsi="Arial" w:eastAsia="Arial" w:cs="Arial"/>
      <w:b/>
      <w:bCs/>
      <w:sz w:val="24"/>
      <w:szCs w:val="24"/>
    </w:rPr>
  </w:style>
  <w:style w:type="character" w:styleId="1149" w:customStyle="1">
    <w:name w:val="Заголовок 6 Знак"/>
    <w:basedOn w:val="1139"/>
    <w:uiPriority w:val="9"/>
    <w:rPr>
      <w:rFonts w:ascii="Arial" w:hAnsi="Arial" w:eastAsia="Arial" w:cs="Arial"/>
      <w:b/>
      <w:bCs/>
      <w:sz w:val="22"/>
      <w:szCs w:val="22"/>
    </w:rPr>
  </w:style>
  <w:style w:type="character" w:styleId="1150" w:customStyle="1">
    <w:name w:val="Заголовок 7 Знак"/>
    <w:basedOn w:val="1139"/>
    <w:link w:val="113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151" w:customStyle="1">
    <w:name w:val="Заголовок 8 Знак"/>
    <w:basedOn w:val="1139"/>
    <w:link w:val="1137"/>
    <w:uiPriority w:val="9"/>
    <w:rPr>
      <w:rFonts w:ascii="Arial" w:hAnsi="Arial" w:eastAsia="Arial" w:cs="Arial"/>
      <w:i/>
      <w:iCs/>
      <w:sz w:val="22"/>
      <w:szCs w:val="22"/>
    </w:rPr>
  </w:style>
  <w:style w:type="character" w:styleId="1152" w:customStyle="1">
    <w:name w:val="Заголовок 9 Знак"/>
    <w:basedOn w:val="1139"/>
    <w:link w:val="1138"/>
    <w:uiPriority w:val="9"/>
    <w:rPr>
      <w:rFonts w:ascii="Arial" w:hAnsi="Arial" w:eastAsia="Arial" w:cs="Arial"/>
      <w:i/>
      <w:iCs/>
      <w:sz w:val="21"/>
      <w:szCs w:val="21"/>
    </w:rPr>
  </w:style>
  <w:style w:type="paragraph" w:styleId="1153">
    <w:name w:val="No Spacing"/>
    <w:uiPriority w:val="1"/>
    <w:qFormat/>
    <w:pPr>
      <w:spacing w:after="0" w:line="240" w:lineRule="auto"/>
    </w:pPr>
  </w:style>
  <w:style w:type="character" w:styleId="1154" w:customStyle="1">
    <w:name w:val="Заголовок Знак"/>
    <w:basedOn w:val="1139"/>
    <w:uiPriority w:val="10"/>
    <w:rPr>
      <w:sz w:val="48"/>
      <w:szCs w:val="48"/>
    </w:rPr>
  </w:style>
  <w:style w:type="character" w:styleId="1155" w:customStyle="1">
    <w:name w:val="Подзаголовок Знак"/>
    <w:basedOn w:val="1139"/>
    <w:uiPriority w:val="11"/>
    <w:rPr>
      <w:sz w:val="24"/>
      <w:szCs w:val="24"/>
    </w:rPr>
  </w:style>
  <w:style w:type="paragraph" w:styleId="1156">
    <w:name w:val="Quote"/>
    <w:link w:val="1157"/>
    <w:uiPriority w:val="29"/>
    <w:qFormat/>
    <w:pPr>
      <w:ind w:left="720" w:right="720"/>
    </w:pPr>
    <w:rPr>
      <w:i/>
    </w:rPr>
  </w:style>
  <w:style w:type="character" w:styleId="1157" w:customStyle="1">
    <w:name w:val="Цитата 2 Знак"/>
    <w:link w:val="1156"/>
    <w:uiPriority w:val="29"/>
    <w:rPr>
      <w:i/>
    </w:rPr>
  </w:style>
  <w:style w:type="paragraph" w:styleId="1158">
    <w:name w:val="Intense Quote"/>
    <w:link w:val="115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159" w:customStyle="1">
    <w:name w:val="Выделенная цитата Знак"/>
    <w:link w:val="1158"/>
    <w:uiPriority w:val="30"/>
    <w:rPr>
      <w:i/>
    </w:rPr>
  </w:style>
  <w:style w:type="paragraph" w:styleId="1160">
    <w:name w:val="Header"/>
    <w:link w:val="11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161" w:customStyle="1">
    <w:name w:val="Верхний колонтитул Знак"/>
    <w:basedOn w:val="1139"/>
    <w:link w:val="1160"/>
    <w:uiPriority w:val="99"/>
  </w:style>
  <w:style w:type="paragraph" w:styleId="1162">
    <w:name w:val="Footer"/>
    <w:link w:val="11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163" w:customStyle="1">
    <w:name w:val="Footer Char"/>
    <w:basedOn w:val="1139"/>
    <w:uiPriority w:val="99"/>
  </w:style>
  <w:style w:type="paragraph" w:styleId="1164">
    <w:name w:val="Captio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1165" w:customStyle="1">
    <w:name w:val="Нижний колонтитул Знак"/>
    <w:link w:val="1162"/>
    <w:uiPriority w:val="99"/>
  </w:style>
  <w:style w:type="table" w:styleId="1166">
    <w:name w:val="Table Grid"/>
    <w:basedOn w:val="114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67" w:customStyle="1">
    <w:name w:val="Table Grid Light"/>
    <w:basedOn w:val="114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68">
    <w:name w:val="Plain Table 1"/>
    <w:basedOn w:val="114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169">
    <w:name w:val="Plain Table 2"/>
    <w:basedOn w:val="114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170">
    <w:name w:val="Plain Table 3"/>
    <w:basedOn w:val="11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171">
    <w:name w:val="Plain Table 4"/>
    <w:basedOn w:val="11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2">
    <w:name w:val="Plain Table 5"/>
    <w:basedOn w:val="11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173">
    <w:name w:val="Grid Table 1 Light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4" w:customStyle="1">
    <w:name w:val="Grid Table 1 Light - Accent 1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5" w:customStyle="1">
    <w:name w:val="Grid Table 1 Light - Accent 2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6" w:customStyle="1">
    <w:name w:val="Grid Table 1 Light - Accent 3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7" w:customStyle="1">
    <w:name w:val="Grid Table 1 Light - Accent 4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8" w:customStyle="1">
    <w:name w:val="Grid Table 1 Light - Accent 5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9" w:customStyle="1">
    <w:name w:val="Grid Table 1 Light - Accent 6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0">
    <w:name w:val="Grid Table 2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1" w:customStyle="1">
    <w:name w:val="Grid Table 2 - Accent 1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2" w:customStyle="1">
    <w:name w:val="Grid Table 2 - Accent 2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3" w:customStyle="1">
    <w:name w:val="Grid Table 2 - Accent 3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4" w:customStyle="1">
    <w:name w:val="Grid Table 2 - Accent 4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5" w:customStyle="1">
    <w:name w:val="Grid Table 2 - Accent 5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6" w:customStyle="1">
    <w:name w:val="Grid Table 2 - Accent 6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7">
    <w:name w:val="Grid Table 3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8" w:customStyle="1">
    <w:name w:val="Grid Table 3 - Accent 1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9" w:customStyle="1">
    <w:name w:val="Grid Table 3 - Accent 2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0" w:customStyle="1">
    <w:name w:val="Grid Table 3 - Accent 3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1" w:customStyle="1">
    <w:name w:val="Grid Table 3 - Accent 4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2" w:customStyle="1">
    <w:name w:val="Grid Table 3 - Accent 5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3" w:customStyle="1">
    <w:name w:val="Grid Table 3 - Accent 6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4">
    <w:name w:val="Grid Table 4"/>
    <w:basedOn w:val="114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195" w:customStyle="1">
    <w:name w:val="Grid Table 4 - Accent 1"/>
    <w:basedOn w:val="114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1196" w:customStyle="1">
    <w:name w:val="Grid Table 4 - Accent 2"/>
    <w:basedOn w:val="114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1197" w:customStyle="1">
    <w:name w:val="Grid Table 4 - Accent 3"/>
    <w:basedOn w:val="114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1198" w:customStyle="1">
    <w:name w:val="Grid Table 4 - Accent 4"/>
    <w:basedOn w:val="114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1199" w:customStyle="1">
    <w:name w:val="Grid Table 4 - Accent 5"/>
    <w:basedOn w:val="114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1200" w:customStyle="1">
    <w:name w:val="Grid Table 4 - Accent 6"/>
    <w:basedOn w:val="114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201">
    <w:name w:val="Grid Table 5 Dark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202" w:customStyle="1">
    <w:name w:val="Grid Table 5 Dark- Accent 1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1203" w:customStyle="1">
    <w:name w:val="Grid Table 5 Dark - Accent 2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1204" w:customStyle="1">
    <w:name w:val="Grid Table 5 Dark - Accent 3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1205" w:customStyle="1">
    <w:name w:val="Grid Table 5 Dark- Accent 4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1206" w:customStyle="1">
    <w:name w:val="Grid Table 5 Dark - Accent 5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1207" w:customStyle="1">
    <w:name w:val="Grid Table 5 Dark - Accent 6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1208">
    <w:name w:val="Grid Table 6 Colorful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209" w:customStyle="1">
    <w:name w:val="Grid Table 6 Colorful - Accent 1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1210" w:customStyle="1">
    <w:name w:val="Grid Table 6 Colorful - Accent 2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211" w:customStyle="1">
    <w:name w:val="Grid Table 6 Colorful - Accent 3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212" w:customStyle="1">
    <w:name w:val="Grid Table 6 Colorful - Accent 4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213" w:customStyle="1">
    <w:name w:val="Grid Table 6 Colorful - Accent 5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214" w:customStyle="1">
    <w:name w:val="Grid Table 6 Colorful - Accent 6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215">
    <w:name w:val="Grid Table 7 Colorful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216" w:customStyle="1">
    <w:name w:val="Grid Table 7 Colorful - Accent 1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217" w:customStyle="1">
    <w:name w:val="Grid Table 7 Colorful - Accent 2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218" w:customStyle="1">
    <w:name w:val="Grid Table 7 Colorful - Accent 3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219" w:customStyle="1">
    <w:name w:val="Grid Table 7 Colorful - Accent 4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220" w:customStyle="1">
    <w:name w:val="Grid Table 7 Colorful - Accent 5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221" w:customStyle="1">
    <w:name w:val="Grid Table 7 Colorful - Accent 6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222">
    <w:name w:val="List Table 1 Light"/>
    <w:basedOn w:val="11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3" w:customStyle="1">
    <w:name w:val="List Table 1 Light - Accent 1"/>
    <w:basedOn w:val="11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4" w:customStyle="1">
    <w:name w:val="List Table 1 Light - Accent 2"/>
    <w:basedOn w:val="11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5" w:customStyle="1">
    <w:name w:val="List Table 1 Light - Accent 3"/>
    <w:basedOn w:val="11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6" w:customStyle="1">
    <w:name w:val="List Table 1 Light - Accent 4"/>
    <w:basedOn w:val="11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7" w:customStyle="1">
    <w:name w:val="List Table 1 Light - Accent 5"/>
    <w:basedOn w:val="11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8" w:customStyle="1">
    <w:name w:val="List Table 1 Light - Accent 6"/>
    <w:basedOn w:val="114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9">
    <w:name w:val="List Table 2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230" w:customStyle="1">
    <w:name w:val="List Table 2 - Accent 1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1231" w:customStyle="1">
    <w:name w:val="List Table 2 - Accent 2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232" w:customStyle="1">
    <w:name w:val="List Table 2 - Accent 3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233" w:customStyle="1">
    <w:name w:val="List Table 2 - Accent 4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234" w:customStyle="1">
    <w:name w:val="List Table 2 - Accent 5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1235" w:customStyle="1">
    <w:name w:val="List Table 2 - Accent 6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236">
    <w:name w:val="List Table 3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7" w:customStyle="1">
    <w:name w:val="List Table 3 - Accent 1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8" w:customStyle="1">
    <w:name w:val="List Table 3 - Accent 2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9" w:customStyle="1">
    <w:name w:val="List Table 3 - Accent 3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0" w:customStyle="1">
    <w:name w:val="List Table 3 - Accent 4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1" w:customStyle="1">
    <w:name w:val="List Table 3 - Accent 5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2" w:customStyle="1">
    <w:name w:val="List Table 3 - Accent 6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3">
    <w:name w:val="List Table 4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4" w:customStyle="1">
    <w:name w:val="List Table 4 - Accent 1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5" w:customStyle="1">
    <w:name w:val="List Table 4 - Accent 2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6" w:customStyle="1">
    <w:name w:val="List Table 4 - Accent 3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7" w:customStyle="1">
    <w:name w:val="List Table 4 - Accent 4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8" w:customStyle="1">
    <w:name w:val="List Table 4 - Accent 5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9" w:customStyle="1">
    <w:name w:val="List Table 4 - Accent 6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0">
    <w:name w:val="List Table 5 Dark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251" w:customStyle="1">
    <w:name w:val="List Table 5 Dark - Accent 1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252" w:customStyle="1">
    <w:name w:val="List Table 5 Dark - Accent 2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253" w:customStyle="1">
    <w:name w:val="List Table 5 Dark - Accent 3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254" w:customStyle="1">
    <w:name w:val="List Table 5 Dark - Accent 4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255" w:customStyle="1">
    <w:name w:val="List Table 5 Dark - Accent 5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256" w:customStyle="1">
    <w:name w:val="List Table 5 Dark - Accent 6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257">
    <w:name w:val="List Table 6 Colorful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258" w:customStyle="1">
    <w:name w:val="List Table 6 Colorful - Accent 1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259" w:customStyle="1">
    <w:name w:val="List Table 6 Colorful - Accent 2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260" w:customStyle="1">
    <w:name w:val="List Table 6 Colorful - Accent 3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261" w:customStyle="1">
    <w:name w:val="List Table 6 Colorful - Accent 4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262" w:customStyle="1">
    <w:name w:val="List Table 6 Colorful - Accent 5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1263" w:customStyle="1">
    <w:name w:val="List Table 6 Colorful - Accent 6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264">
    <w:name w:val="List Table 7 Colorful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265" w:customStyle="1">
    <w:name w:val="List Table 7 Colorful - Accent 1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266" w:customStyle="1">
    <w:name w:val="List Table 7 Colorful - Accent 2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267" w:customStyle="1">
    <w:name w:val="List Table 7 Colorful - Accent 3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268" w:customStyle="1">
    <w:name w:val="List Table 7 Colorful - Accent 4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269" w:customStyle="1">
    <w:name w:val="List Table 7 Colorful - Accent 5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270" w:customStyle="1">
    <w:name w:val="List Table 7 Colorful - Accent 6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271" w:customStyle="1">
    <w:name w:val="Lined - Accent"/>
    <w:basedOn w:val="1140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272" w:customStyle="1">
    <w:name w:val="Lined - Accent 1"/>
    <w:basedOn w:val="1140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273" w:customStyle="1">
    <w:name w:val="Lined - Accent 2"/>
    <w:basedOn w:val="1140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274" w:customStyle="1">
    <w:name w:val="Lined - Accent 3"/>
    <w:basedOn w:val="1140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275" w:customStyle="1">
    <w:name w:val="Lined - Accent 4"/>
    <w:basedOn w:val="1140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276" w:customStyle="1">
    <w:name w:val="Lined - Accent 5"/>
    <w:basedOn w:val="1140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277" w:customStyle="1">
    <w:name w:val="Lined - Accent 6"/>
    <w:basedOn w:val="1140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278" w:customStyle="1">
    <w:name w:val="Bordered &amp; Lined - Accent"/>
    <w:basedOn w:val="1140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279" w:customStyle="1">
    <w:name w:val="Bordered &amp; Lined - Accent 1"/>
    <w:basedOn w:val="1140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280" w:customStyle="1">
    <w:name w:val="Bordered &amp; Lined - Accent 2"/>
    <w:basedOn w:val="1140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281" w:customStyle="1">
    <w:name w:val="Bordered &amp; Lined - Accent 3"/>
    <w:basedOn w:val="1140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282" w:customStyle="1">
    <w:name w:val="Bordered &amp; Lined - Accent 4"/>
    <w:basedOn w:val="1140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283" w:customStyle="1">
    <w:name w:val="Bordered &amp; Lined - Accent 5"/>
    <w:basedOn w:val="1140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284" w:customStyle="1">
    <w:name w:val="Bordered &amp; Lined - Accent 6"/>
    <w:basedOn w:val="1140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285" w:customStyle="1">
    <w:name w:val="Bordered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286" w:customStyle="1">
    <w:name w:val="Bordered - Accent 1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287" w:customStyle="1">
    <w:name w:val="Bordered - Accent 2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288" w:customStyle="1">
    <w:name w:val="Bordered - Accent 3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289" w:customStyle="1">
    <w:name w:val="Bordered - Accent 4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290" w:customStyle="1">
    <w:name w:val="Bordered - Accent 5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1291" w:customStyle="1">
    <w:name w:val="Bordered - Accent 6"/>
    <w:basedOn w:val="114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1292">
    <w:name w:val="footnote text"/>
    <w:link w:val="1293"/>
    <w:uiPriority w:val="99"/>
    <w:semiHidden/>
    <w:unhideWhenUsed/>
    <w:pPr>
      <w:spacing w:after="40" w:line="240" w:lineRule="auto"/>
    </w:pPr>
    <w:rPr>
      <w:sz w:val="18"/>
    </w:rPr>
  </w:style>
  <w:style w:type="character" w:styleId="1293" w:customStyle="1">
    <w:name w:val="Текст сноски Знак"/>
    <w:link w:val="1292"/>
    <w:uiPriority w:val="99"/>
    <w:rPr>
      <w:sz w:val="18"/>
    </w:rPr>
  </w:style>
  <w:style w:type="character" w:styleId="1294">
    <w:name w:val="footnote reference"/>
    <w:basedOn w:val="1139"/>
    <w:uiPriority w:val="99"/>
    <w:unhideWhenUsed/>
    <w:rPr>
      <w:vertAlign w:val="superscript"/>
    </w:rPr>
  </w:style>
  <w:style w:type="paragraph" w:styleId="1295">
    <w:name w:val="endnote text"/>
    <w:link w:val="1296"/>
    <w:uiPriority w:val="99"/>
    <w:semiHidden/>
    <w:unhideWhenUsed/>
    <w:pPr>
      <w:spacing w:after="0" w:line="240" w:lineRule="auto"/>
    </w:pPr>
    <w:rPr>
      <w:sz w:val="20"/>
    </w:rPr>
  </w:style>
  <w:style w:type="character" w:styleId="1296" w:customStyle="1">
    <w:name w:val="Текст концевой сноски Знак"/>
    <w:link w:val="1295"/>
    <w:uiPriority w:val="99"/>
    <w:rPr>
      <w:sz w:val="20"/>
    </w:rPr>
  </w:style>
  <w:style w:type="character" w:styleId="1297">
    <w:name w:val="endnote reference"/>
    <w:basedOn w:val="1139"/>
    <w:uiPriority w:val="99"/>
    <w:semiHidden/>
    <w:unhideWhenUsed/>
    <w:rPr>
      <w:vertAlign w:val="superscript"/>
    </w:rPr>
  </w:style>
  <w:style w:type="paragraph" w:styleId="1298">
    <w:name w:val="toc 1"/>
    <w:uiPriority w:val="39"/>
    <w:unhideWhenUsed/>
    <w:pPr>
      <w:spacing w:after="57"/>
    </w:pPr>
  </w:style>
  <w:style w:type="paragraph" w:styleId="1299">
    <w:name w:val="toc 2"/>
    <w:uiPriority w:val="39"/>
    <w:unhideWhenUsed/>
    <w:pPr>
      <w:ind w:left="283"/>
      <w:spacing w:after="57"/>
    </w:pPr>
  </w:style>
  <w:style w:type="paragraph" w:styleId="1300">
    <w:name w:val="toc 3"/>
    <w:uiPriority w:val="39"/>
    <w:unhideWhenUsed/>
    <w:pPr>
      <w:ind w:left="567"/>
      <w:spacing w:after="57"/>
    </w:pPr>
  </w:style>
  <w:style w:type="paragraph" w:styleId="1301">
    <w:name w:val="toc 4"/>
    <w:uiPriority w:val="39"/>
    <w:unhideWhenUsed/>
    <w:pPr>
      <w:ind w:left="850"/>
      <w:spacing w:after="57"/>
    </w:pPr>
  </w:style>
  <w:style w:type="paragraph" w:styleId="1302">
    <w:name w:val="toc 5"/>
    <w:uiPriority w:val="39"/>
    <w:unhideWhenUsed/>
    <w:pPr>
      <w:ind w:left="1134"/>
      <w:spacing w:after="57"/>
    </w:pPr>
  </w:style>
  <w:style w:type="paragraph" w:styleId="1303">
    <w:name w:val="toc 6"/>
    <w:uiPriority w:val="39"/>
    <w:unhideWhenUsed/>
    <w:pPr>
      <w:ind w:left="1417"/>
      <w:spacing w:after="57"/>
    </w:pPr>
  </w:style>
  <w:style w:type="paragraph" w:styleId="1304">
    <w:name w:val="toc 7"/>
    <w:uiPriority w:val="39"/>
    <w:unhideWhenUsed/>
    <w:pPr>
      <w:ind w:left="1701"/>
      <w:spacing w:after="57"/>
    </w:pPr>
  </w:style>
  <w:style w:type="paragraph" w:styleId="1305">
    <w:name w:val="toc 8"/>
    <w:uiPriority w:val="39"/>
    <w:unhideWhenUsed/>
    <w:pPr>
      <w:ind w:left="1984"/>
      <w:spacing w:after="57"/>
    </w:pPr>
  </w:style>
  <w:style w:type="paragraph" w:styleId="1306">
    <w:name w:val="toc 9"/>
    <w:uiPriority w:val="39"/>
    <w:unhideWhenUsed/>
    <w:pPr>
      <w:ind w:left="2268"/>
      <w:spacing w:after="57"/>
    </w:pPr>
  </w:style>
  <w:style w:type="paragraph" w:styleId="1307">
    <w:name w:val="TOC Heading"/>
    <w:uiPriority w:val="39"/>
    <w:unhideWhenUsed/>
  </w:style>
  <w:style w:type="paragraph" w:styleId="1308">
    <w:name w:val="table of figures"/>
    <w:uiPriority w:val="99"/>
    <w:unhideWhenUsed/>
    <w:pPr>
      <w:spacing w:after="0"/>
    </w:pPr>
  </w:style>
  <w:style w:type="table" w:styleId="1309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table" w:styleId="1310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table" w:styleId="1311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character" w:styleId="1312" w:customStyle="1">
    <w:name w:val="Заголовок 2 Знак"/>
    <w:basedOn w:val="1139"/>
    <w:uiPriority w:val="9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1313">
    <w:name w:val="Hyperlink"/>
    <w:basedOn w:val="1139"/>
    <w:uiPriority w:val="99"/>
    <w:unhideWhenUsed/>
    <w:rPr>
      <w:color w:val="0563c1" w:themeColor="hyperlink"/>
      <w:u w:val="single"/>
    </w:rPr>
  </w:style>
  <w:style w:type="character" w:styleId="1314">
    <w:name w:val="Emphasis"/>
    <w:basedOn w:val="1139"/>
    <w:uiPriority w:val="20"/>
    <w:qFormat/>
    <w:rPr>
      <w:i/>
      <w:iCs/>
    </w:rPr>
  </w:style>
  <w:style w:type="character" w:styleId="1315" w:customStyle="1">
    <w:name w:val="Заголовок 1 Знак"/>
    <w:basedOn w:val="1139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1316" w:customStyle="1">
    <w:name w:val="Заголовок 3 Знак"/>
    <w:basedOn w:val="1139"/>
    <w:uiPriority w:val="9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1317" w:customStyle="1">
    <w:name w:val="Заголовок 4 Знак"/>
    <w:basedOn w:val="1139"/>
    <w:uiPriority w:val="9"/>
    <w:semiHidden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1318">
    <w:name w:val="Strong"/>
    <w:basedOn w:val="1139"/>
    <w:uiPriority w:val="22"/>
    <w:qFormat/>
    <w:rPr>
      <w:b/>
      <w:bCs/>
    </w:rPr>
  </w:style>
  <w:style w:type="paragraph" w:styleId="1319" w:customStyle="1">
    <w:name w:val="ds-markdown-paragraph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320">
    <w:name w:val="HTML Code"/>
    <w:basedOn w:val="1139"/>
    <w:uiPriority w:val="99"/>
    <w:semiHidden/>
    <w:unhideWhenUsed/>
    <w:rPr>
      <w:rFonts w:ascii="Courier New" w:hAnsi="Courier New" w:eastAsia="Times New Roman" w:cs="Courier New"/>
      <w:sz w:val="20"/>
      <w:szCs w:val="20"/>
    </w:rPr>
  </w:style>
  <w:style w:type="character" w:styleId="1321" w:customStyle="1">
    <w:name w:val="d813de27"/>
    <w:basedOn w:val="1139"/>
  </w:style>
  <w:style w:type="character" w:styleId="1322" w:customStyle="1">
    <w:name w:val="code-info-button-text"/>
    <w:basedOn w:val="1139"/>
  </w:style>
  <w:style w:type="paragraph" w:styleId="1323">
    <w:name w:val="HTML Preformatted"/>
    <w:link w:val="1324"/>
    <w:uiPriority w:val="99"/>
    <w:semiHidden/>
    <w:unhideWhenUsed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</w:rPr>
  </w:style>
  <w:style w:type="character" w:styleId="1324" w:customStyle="1">
    <w:name w:val="Стандартный HTML Знак"/>
    <w:basedOn w:val="1139"/>
    <w:link w:val="1323"/>
    <w:uiPriority w:val="99"/>
    <w:semiHidden/>
    <w:rPr>
      <w:rFonts w:ascii="Courier New" w:hAnsi="Courier New" w:eastAsia="Times New Roman" w:cs="Courier New"/>
      <w:sz w:val="20"/>
      <w:szCs w:val="20"/>
      <w:lang w:eastAsia="ru-RU"/>
    </w:rPr>
  </w:style>
  <w:style w:type="character" w:styleId="1325" w:customStyle="1">
    <w:name w:val="token"/>
    <w:basedOn w:val="1139"/>
  </w:style>
  <w:style w:type="paragraph" w:styleId="1326">
    <w:name w:val="Normal (Web)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327">
    <w:name w:val="List Paragraph"/>
    <w:uiPriority w:val="34"/>
    <w:qFormat/>
    <w:pPr>
      <w:contextualSpacing/>
      <w:ind w:left="720"/>
    </w:pPr>
  </w:style>
  <w:style w:type="table" w:styleId="1328" w:customStyle="1">
    <w:name w:val="StGen0"/>
    <w:basedOn w:val="1311"/>
    <w:tblPr>
      <w:tblStyleRowBandSize w:val="1"/>
      <w:tblStyleColBandSize w:val="1"/>
      <w:tblCellMar>
        <w:left w:w="15" w:type="dxa"/>
        <w:top w:w="15" w:type="dxa"/>
        <w:right w:w="15" w:type="dxa"/>
        <w:bottom w:w="15" w:type="dxa"/>
      </w:tblCellMar>
    </w:tblPr>
  </w:style>
  <w:style w:type="paragraph" w:styleId="1329">
    <w:name w:val="annotation text"/>
    <w:link w:val="1330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1330" w:customStyle="1">
    <w:name w:val="Текст примечания Знак"/>
    <w:basedOn w:val="1139"/>
    <w:link w:val="1329"/>
    <w:uiPriority w:val="99"/>
    <w:semiHidden/>
    <w:rPr>
      <w:sz w:val="20"/>
      <w:szCs w:val="20"/>
    </w:rPr>
  </w:style>
  <w:style w:type="character" w:styleId="1331">
    <w:name w:val="annotation reference"/>
    <w:basedOn w:val="1139"/>
    <w:uiPriority w:val="99"/>
    <w:semiHidden/>
    <w:unhideWhenUsed/>
    <w:rPr>
      <w:sz w:val="16"/>
      <w:szCs w:val="16"/>
    </w:rPr>
  </w:style>
  <w:style w:type="paragraph" w:styleId="1332">
    <w:name w:val="annotation subject"/>
    <w:basedOn w:val="1329"/>
    <w:next w:val="1329"/>
    <w:link w:val="1333"/>
    <w:uiPriority w:val="99"/>
    <w:semiHidden/>
    <w:unhideWhenUsed/>
    <w:rPr>
      <w:b/>
      <w:bCs/>
    </w:rPr>
  </w:style>
  <w:style w:type="character" w:styleId="1333" w:customStyle="1">
    <w:name w:val="Тема примечания Знак"/>
    <w:basedOn w:val="1330"/>
    <w:link w:val="1332"/>
    <w:uiPriority w:val="99"/>
    <w:semiHidden/>
    <w:rPr>
      <w:b/>
      <w:bCs/>
      <w:sz w:val="20"/>
      <w:szCs w:val="20"/>
    </w:rPr>
  </w:style>
  <w:style w:type="paragraph" w:styleId="1334">
    <w:name w:val="Revision"/>
    <w:hidden/>
    <w:uiPriority w:val="99"/>
    <w:semiHidden/>
    <w:pPr>
      <w:spacing w:after="0" w:line="240" w:lineRule="auto"/>
    </w:pPr>
  </w:style>
  <w:style w:type="table" w:styleId="1335" w:customStyle="1">
    <w:name w:val="StGen1"/>
    <w:basedOn w:val="1311"/>
    <w:tblPr>
      <w:tblStyleRowBandSize w:val="1"/>
      <w:tblStyleColBandSize w:val="1"/>
      <w:tblCellMar>
        <w:left w:w="15" w:type="dxa"/>
        <w:top w:w="15" w:type="dxa"/>
        <w:right w:w="15" w:type="dxa"/>
        <w:bottom w:w="15" w:type="dxa"/>
      </w:tblCellMar>
    </w:tblPr>
  </w:style>
  <w:style w:type="table" w:styleId="1336" w:customStyle="1">
    <w:name w:val="StGen2"/>
    <w:basedOn w:val="1311"/>
    <w:tblPr>
      <w:tblStyleRowBandSize w:val="1"/>
      <w:tblStyleColBandSize w:val="1"/>
      <w:tblCellMar>
        <w:left w:w="15" w:type="dxa"/>
        <w:top w:w="15" w:type="dxa"/>
        <w:right w:w="15" w:type="dxa"/>
        <w:bottom w:w="15" w:type="dxa"/>
      </w:tblCellMar>
    </w:tblPr>
  </w:style>
  <w:style w:type="character" w:styleId="1337">
    <w:name w:val="Unresolved Mention"/>
    <w:basedOn w:val="1139"/>
    <w:uiPriority w:val="99"/>
    <w:semiHidden/>
    <w:unhideWhenUsed/>
    <w:rPr>
      <w:color w:val="605e5c"/>
      <w:shd w:val="clear" w:color="auto" w:fill="e1dfdd"/>
    </w:rPr>
  </w:style>
  <w:style w:type="paragraph" w:styleId="1338">
    <w:name w:val="Subtitle"/>
    <w:basedOn w:val="1129"/>
    <w:next w:val="1129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339" w:customStyle="1">
    <w:name w:val="StGen0"/>
    <w:basedOn w:val="1309"/>
    <w:tblPr>
      <w:tblStyleRowBandSize w:val="1"/>
      <w:tblStyleColBandSize w:val="1"/>
      <w:tblCellMar>
        <w:left w:w="15" w:type="dxa"/>
        <w:top w:w="15" w:type="dxa"/>
        <w:right w:w="15" w:type="dxa"/>
        <w:bottom w:w="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image" Target="media/image2.png"/><Relationship Id="rId15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nko.economy.gov.ru/upload/docs/doklad-za-2024-god.pdf" TargetMode="External"/><Relationship Id="rId2" Type="http://schemas.openxmlformats.org/officeDocument/2006/relationships/hyperlink" Target="https://wciom.ru/analytical-reviews/analiticheskii-obzor/volonterstvo-v-rossii-monitoring" TargetMode="External"/><Relationship Id="rId3" Type="http://schemas.openxmlformats.org/officeDocument/2006/relationships/hyperlink" Target="https://rg.ru/2020/03/07/kolonna-dmitr...ankov.html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FP8F/HdzAA5DXVc7hE57HmEIDQ==">CgMxLjAyDmgueW01dHJod3Y5aXBwOAByITE2MXNvRXpSLVNFZ3M5VFp0dFNQRVpKVUREQUtzY3NxbA==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Лазутина</cp:lastModifiedBy>
  <cp:revision>4</cp:revision>
  <dcterms:created xsi:type="dcterms:W3CDTF">2025-07-25T06:52:00Z</dcterms:created>
  <dcterms:modified xsi:type="dcterms:W3CDTF">2026-04-29T12:34:21Z</dcterms:modified>
</cp:coreProperties>
</file>