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7"/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7"/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7"/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7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7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7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Сценарий лекции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«Гонки дронов: Как Россия стала лидером фиджитал спорта»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left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20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Москва, 2025</w:t>
      </w:r>
      <w: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Цель лекции: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сформировать у обучающихся целостное представление о гонках дронов как о перспективном направлении объединяющего спорт, технологии и образование, а также показать историю развития, ключевые достижения и возможности для профессионального роста в этой сфере.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Задачи: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4"/>
        </w:num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познакомить слушателей с историей и особенностями гонок дронов, включая фиджитал-формат;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раскрыть их эволюцию от любительских соревнований до профессионального спорта;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показать, какие технологические и инженерные разработки создаются в России для этого спорта;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рассказать о господдержке и инфраструктуре, созданной для развития гонок дронов;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подчеркнуть достижения российских пилотов и инженеров на международной арене;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вдохновить молодежь на участие в новом виде спорта и связанных с ним технологиях.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Формирующиеся ценности: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color w:val="020c22"/>
          <w:sz w:val="28"/>
          <w:szCs w:val="28"/>
          <w:shd w:val="clear" w:color="auto" w:fill="fefefe"/>
          <w:rtl w:val="0"/>
        </w:rPr>
        <w:t xml:space="preserve">созидательный труд, патриотизм.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45 минут.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Рекомендуемый возраст участников: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школьники 5-9 классов, школьники 10-11 классов.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интерактивная лекция.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5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- сценарий лекции;</w:t>
        <w:br/>
        <w:t xml:space="preserve">- презентация.</w:t>
      </w:r>
      <w: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Сценарий лекции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1 слайд. Титульный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Сегодня мы поговорим о динамично развивающейся дисциплине — гонках на беспилотных летательных аппаратах, или как их еще часто называют – дронах.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Это не просто развлечение, а высокотехнологичный спорт, сочетающий инженерные решения, пилотирование и стратегическое мышление. Мы рассмотрим историю становления гонок дронов, их развитие в России, правовые аспекты, государственную поддержку и перспективы.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2. Регистрация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История становления гонок дронов как вида спорта.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Давайте начнем с истории развития этого спорта: как и когда произошла эволюция от «гаражных» стартов к фиджитал-спорту?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 разной информации первые гонки дронов начали проводиться примерно в 2010-2014 годах, когда небольшие группы энтузиастов начали устраивать любительские соревнов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ания с использованием специальных моделей дронов, оборудованных камерами и системой передачи видеосигнала прямо в очки пилота. Только представьте: дрон весом всего 400 грамм разгоняется до 150 км/ч и пролетает между препятствиями с точностью до сантиметра!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Этот формат получил название First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Person View (FPV) — видение полета глазами оператора (управление от первого лица через очки). Такой подход обеспечивал уникальное впечатление полного погружения в полет, вызывая настоящий эмоциональный отклик и желание соревноваться с другими участниками.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Согласно большинству источников первый чемпионат мира по гонкам дронов прошел в 2016 году в Дубае — World Drone Prix, именно этот турнир считается первым официальным чемпионатом мира.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Соревнования собрали около 150 команд, а общий призовой фонд составил один миллион долларов.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Российская команда «VS Meshcheriakov» показала выдающийся результат, заняв третье место и завоевав специальный приз за лучший круг гонки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Примерно с тех пор и начались первые крупные межд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ународные соревнования, объединившие тысячи фанатов и сотни пилотов по всему миру. Вскоре после этого сформировались профессиональные лиги и ассоциации, регламентирующие проведение соревнований, разработку стандартов безопасности и техническое обеспечение.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 мы видим, за прошедшие десять лет гонки дронов превратились из формы развлечения и простого увлечения небольшой группы энтузиастов до полноценного спортивного движения, признанного на международной арене.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 этому поспособствовало?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первую очередь, совершенствование технических характеристик: сегодня современные гоночные дроны отличаются повышенной скоростью, маневренностью и надежностью конструкции..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Интересный факт: в среднем скорость беспилотника варьируется в пределах 120–170 км/ч, при этом мировой рекорд зафиксирован на отметке 378 км/ч.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Так как же «гаражные гонки» трансформировались в фидижитал-спорт?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Термин «фиджитал» объединяет физические тренировки и цифров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ые технологии. Одним из важнейших факторов стремительного развития стало появление виртуального моделирования маршрутов и тренировок в специально разработанных компьютерных симуляторах. Пилоты теперь могут готовиться к реальной гонке дистанционно, осваивая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тактику прохождения различных препятствий и улучшая свою реакцию и навыки пилотирования. Эта интеграция реальных физических действий и цифровой среды получила название «фиджитал», подчеркивающее сочетание двух разных измерений одной спортивной дисциплины.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 мере увеличения популярности гонок дронов были открыты многочисленные школы и секции, доступные для начинающих пилотов любого возраста, а также для тех, кто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хочет погрузиться в мир конструирования, программирования и создания беспилотных летательных аппаратов. Так, например, этому учат в детских технопарках «Кванториум», которые были открыты по всей России в рамках федерального проекта «Успех каждого ребенка»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национального проекта «Образование». Сегодня подобные площадки функционируют практически повсеместно, предлагая уникальные программы обучения и условия для быстрого старта карьеры профессионального пилота или разработчика беспилотных летательных аппаратов.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 мы уже го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ворили, гонки дронов трансформировались в высокоорганизованную дисциплину, открывающую широкие перспективы для профессионального роста спортивного и технического прогресса, которые с каждым годом привлекает все больше и больше единомышленников в свои ряды.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4. История развития организованной системы гонок дронов в России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История развития организованной системы гонок дронов в России началась в 2022 году, когда официально появилась Федерация гонок дронов России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Ее создание ознаменовало важный шаг вперед в признании этого молодого, но стремительно развивающегося вида спорта.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Федерация была создана, чтобы объединить разрозненных любителей и создать систему официальных мероприятий и правил.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Основными целями Федерации являются: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развитие профессиональной подготовки пилотов и специалистов в области беспилотных авиационных систем (БАС);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1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организация и проведение международных соревнований;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1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повышение уровня мастерства среди российских спортсменов;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1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популяризация спорта среди молодежи.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Уже спустя год, в 2023 году гонки дронов получили официальное признание Министерством спорта России как самостоятельный вид спорта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Это означало, что дисциплина попала в реестр видов спорта, имеющих право претендовать на государственные субсидии, финансирование, организацию регулярных соревнований и включенность в спортивные программы школ и вузов.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декабре 2024 г. получение аккредитации Федеральной службы государственного надзора Минспорта России стала значимым событием для всей отрасли. Она подтвердила, что деятельность Федерации соответствует установленным требованиям и стандартам.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После этого этапа структура Федерации укрепилась, появилась возможность активнее привлекать средства на строительство специализированных треков, покупку оборудования и поощрение успешных пилотов.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Уже к началу 2025 года Федерация смогла создать 59 региональных отделений по всей территории России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Эти отделения охватывают все федеральные округа, обеспечивая равномерное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покрытие территорий и привлечение большего числа пилотов. Региональные отделения проводят регулярные тренировки, семинары и отборочные соревнования, что существенно повышает популярность и конкурентоспособность отечественных пилотов на международной арене.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Таким образом, за три года гонки дронов в России проделали огромный путь от развлечения до серьезного, профессионально организованного спорта, интегрированного в национальную спортивную структуру.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5. Создание собственного симулятора «Квадросим»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 мы уже ранее говорили, львиная доля подготовки оператора дрона проходит в специальных симуляторах. Это позволяет упростить обрабатывание полетных навыков, а также сохраняет дроны в целости, ведь виртуальный дрон нельзя разбить в отличии от обычного.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Понимая необходимость в создании собственного симулятора, компания Ninsar совместно с Федерацией гонок дронов России приступили к разработке отечественного симулятора – «Квадросим»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6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Данный продукт стал первым российским симулятором подобного класса, ориентированным на тренировку пилотов гоночных дронов, их подготовку к профессиональным соревнованиям и широкое распространение культуры дрон-гонок в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чем же заключается уникальные особенности симулятора «Квадросим»?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симуляторе реализовано высококачественное визуал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ьное представление, симулятор воспроизводит реалистичные пейзажи и трассы, близкие к условиям настоящих соревнований. Графика детально прорисована, позволяя пользователям точно оценивать ситуацию и оперативно реагировать на изменения окружающей обстановки.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Наряду с высококачественной графикой программа учитывает аэродинамические характеристики дронов, влияни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 ветра, сопротивления воздуха и прочих факторов, влияющих на поведение аппарата в воздухе, что для спортсменов является одним из главных факторов при подготовке. Это создает ощущения настоящей гонки и помогает лучше подготовиться к реальным соревнованиям.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«Квадросим» дает широкий спектр возможностей для спортсм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енов, позволяя выбирать различные типы дронов, настраивать их технические характеристики, менять режимы игры и тестировать собственные сценарии гонок. Система предлагает разнообразные карты и уровни сложности, подходящие как новичкам, так и профессионалам.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симулятор встроены инструменты для совместной игры и соревнований онлайн. Участники могут собираться вместе, организовывать турниры и проверять свои навыки против соперников из разных уголков мира.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Помимо развлекательных целей симулятор используется в качестве инструмента обучения пило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тов и разработки стратегий поведения на трассе. Платформу применяют в более чем 300 образовательных учреждениях России: школах, университетах, в системе дополнительного образования, а также «Квадросим» служит базой для тестирования новых методик подготовки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Все это делает «Квадросим» и аналогичные решения отличным инструментом для тренировки и подготовки спортсменов повышения конкурентоспособности отечественных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пилотов на международной арене. Продукт востребован не только спортсменами, но и образовательными учреждениями, коммерческими организациями и государственными ведомствами, заинтересованными в формировании грамотных специалистов в сфере высоких технологий.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Кроме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того, запуск собственного продукта снижает зависимость от зарубежных аналогов и способствует развитию российской IT-отрасли, поддерживая импортонезависимость и укрепление позиций России на мировом рынке авиасимуляторов и систем подготовки операторов БПЛА.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6. Государственная поддержка развития технологий беспилотных летательных аппаратов и создание условий для качественного образования и подготовки высококвалифицированных специалистов.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 мы видим, Россия достигла уже больших результатов, как в сфере создания беспилотных летательных аппаратов, подготовке кадров, так и в части развития спортивного движения. Но все это было бы невозможно без поддержки со стороны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2024-2025 годах в рамках реализации стратегии тех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нологического суверенитета и подготовки кадров для высокотехнологичных отраслей правительство РФ выделило 8,3 млрд рублей на оснащение школ, колледжей и учреждений допобразования оборудованием для обучения работе с беспилотными авиационными системами (БАС)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8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Цели программы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9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создание системы ранней профориентации школьников в сфере беспилотных технологий;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9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подготовка операторов и техников БПЛА для нужд экономики (сельское хозяйство, логистика, МЧС, геодезия);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9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развитие инженерных компетенций в рамках курсов робототехники и авиамоделирования.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География и масштабы: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30 пилотных регионов, включая Москву, Татарстан, Новосибирскую область, Краснодарский край.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Ожи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дается, что финансирование позволит оснастить учебные заведения оборудованием «для изучения процессов разработки, производства и эксплуатации беспилотников». Такие занятия будут проходить в формате дополнительных, всего будет оснащено более 550 учреждений.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Средства будут распределяться следующим образом: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закупка необходимого парка дронов и другого вспомогательного оборудования;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8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организация практических занятий и лабораторных работ;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8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подготовка преподавателей и сотрудников для ведения профильных предметов.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after="16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Помимо финансирования образовательных учреждений, государство оказывает значительную поддержку компаниям-разработчикам беспилот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ных технологий. Так Фонд НТИ активно поддерживает разработчиков БАС. Например, в 2024–2025 годах Фонд выделил 4 млрд рублей (1,5 млрд в 2024 году и 2,5 млрд в 2025 году), а в 2026 году планируется выделить 1,6 млрд рублей на гранты для разработчиков дронов</w:t>
      </w:r>
      <w:r>
        <w:rPr>
          <w:vertAlign w:val="superscript"/>
        </w:rPr>
        <w:footnoteReference w:id="10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16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2024 году в конкурсных отборах приняли участие более 350 резидентов Научно-производственных центров (НПЦ) – разработчиков БАС с 379 проектами, из которых отобрано 148 проектов.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Цели этой меры включают: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создание инновационных продуктов и услуг на российском рынке;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6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увеличение доли российских компаний на внутреннем и внешнем рынках беспилотных технологий;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6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привлечение иностранных инвесторов и партнеров для реализации совместных разработок.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Основное направление вложений связано с разработкой прототипов, проведением испытаний и серийным производством дронов, предназначенных для коммерческих целей, сельского хозяйства, мониторинга окружающей среды и других сфер.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Формы поддержки: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гранты на НИОКР;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7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инвестиции в стартапы через венчурные фонды-партнеры;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7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акселерационные программы с участием корпораций.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Фонд НТИ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 данный момент поддерживает 20% компаний рынка БАС в России. 120 компаний-разработчиков и производителей получают грантовую, экспертную и информационную поддержку. Отрасль беспилотных авиационных систем в России представлена не менее чем 600 компаниями.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Совокупность мер государственной политики направлена на ускоренное освоение и масштабное внедрение беспилотных технологий в России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Выделяемые ресурсы позволят увеличить численность квалифицированных специалистов, сформировать мощный рынок продукции и сервисов, укрепить положение страны в глобальной конкуренции и обеспечить стабильное будущее в высокотехнологичной экономике XXI века.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7. Создание площадок типа «Дрон-гараж» и Центра беспилотных систем и технологий.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эффективного развития российских беспилотных технологий, подготовки квалифицированных кадров: инженеров, операторов и специалистов смежных профессий необходимы специализированные высокотехнологичные площадки, оснащенные инновационным оборудованием.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Именно такую площадку представляет собой проект «Дрон-гараж».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«Дрон-гараж» это высокотехнологичная 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астерская для разработки и тестирования беспилотников, которая открылась 13 марта 2025 г. в Москве по инициативе Центра компетенций беспилотных авиационных систем АНО «Университет 2035» при поддержке национального проекта «Беспилотные авиационные системы».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Это пространство для поиска и тести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рования новых технологических решений через проведение отраслевых мероприятий с применением комплексных беспилотных систем. Уникальность пространства состоит в предложенной форме деятельности — мастерская должна стать полигоном для отработки новых форматов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1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мастерской есть 400 дронов для обучения полетам, более 200 дронов для изучения программирования и автономного полета, 20 дронов с модулями безопасности, защищающими от киберугроз, свыше 40 дронов с функцие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й передачи видео в реальном времени, а также различные симуляторы. Для организации соревнований доступны три комплекта препятствий для трасс и два новейших 3D-принтера, оснащенных российской технологией MES. Они могут быть полезны в инженерных состязаниях.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Также в пространстве можно проводить онлайн-конференции с помощью четырех высококачественных камер, четырех проекторов для вывода любой инфографики, аудиосистемы с микрофонами и не только.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Еще одной из инициатив, направленных на развитие беспилотных технологий является Центр беспилотных систем и технологий.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Центр беспилотных систем и технологий функционирует как ключевой узел взаимодействия предприятий и научных организаций, занятых разработкой беспилотных аппаратов и связанных технологий.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Среди основных функций центра выделяются: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организация исследовательской деятельности, тестирование новых образцов и компонентов беспилотников;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3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проведение конкурсов, хакатонов и соревнований, направленных на выявление талантливых команд и прорывных идей;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3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реализация образовательных программ, направленных на повышение квалификации специалистов в области беспилотных технологий;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3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представительство российских производителей на международных выставках и форумах.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Центр объединил более 250 организаций-разработчиков, включая НИИ, конструкторские бюро, предприятия оборонно-промышленного комплекса и частные фирмы.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Такая концентрация компетенций создает условия для активного внедрения беспилотных технологий в экономику страны и укрепления ее позиций на глобальном рынке.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Реализация таких проектов как «Дрон-гараж» и Центра беспилотных систем и технологий, способствуют эффективному решению стр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атегических задач по разработке, производству и применению беспилотных систем в России. Это обеспечивает уверенный рост сектора и приближает нашу страну к лидирующим позициям в области инновационного развития и экспорта высокотехнологичных товаров и услуг.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8. Принятие единых правил и стандартов проведения соревнований по гонкам дронов.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Рост интереса к гонкам дронов, расширение круга участников, учреждени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 Федерации и официальное признание данного направления спортом обусловили необходимость разработки единых стандартов и требований как к дронам, так и к участникам, четкие регламенты проведения соревнований, определение дисциплин и единых судейских правил.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Появление таких правил стало бы ключевым этапом институционализации и профессионализации данного вида спорта в России.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Данные правила были утверждены приказом Министерства спорта Российской Федерации от 28.10.2024 N 1063 «Об утверждении правил вида спорта «гонки дронов (беспилотных воздушных судов)».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улучшения структуры соревнований Указанными правилами определены восемь ключевых дисциплин. Каждая из них требует специфического подхода и мастерства, что увеличивает разнообразие сценариев гонок и увлекательность состязаний: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класс 75 мм;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класс 75 мм — командные соревнования;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класс 200 мм;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класс 200 мм — командные соревнования;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класс 330 мм;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класс 330 мм — командные соревнования;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технический симулятор — гонки беспилотных воздушных судов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технический симулятор — гонки беспилотных воздушных судов — командные соревнования.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Все площадки для проведения соревнований должны соответствовать определенным техническим характеристикам, обеспечивающим безопасность участник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ов и зрителей. Установлены конкретные размеры полей, высота ограждений, материалы покрытия и требования к освещенности. Наличие системы видеонаблюдения и средств экстренной эвакуации также являются обязательным условием для проведения любых мероприятий. Дл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 разных классов дронов (75 мм, 200 мм, 330 мм) указаны минимальные размеры площадок. Например, для класса 330 мм требуется площадь не менее 2500 м², а для технического симулятора — не менее 20 м². Также выделены зоны для спортсменов, полетов и пит-стопов.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Правила предусматривают разделение пилотов по возрасту, начиная с десяти лет.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Утверждены 3 возрастные группы: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Юниоры и юниорки (10–17 лет)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2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Юниоры и юниорки (17–25 лет) 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numPr>
          <w:ilvl w:val="0"/>
          <w:numId w:val="2"/>
        </w:numPr>
        <w:ind w:left="0"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Мужчины и женщины от 14 лет и старше.</w:t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Стандартизация критериев оценивания и введение единой шкалы рейтингов обеспечивают объективность судейства и прозрачность процесса присвоения спортивных званий. Судьи проходят спец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иальное обучение и аттестацию, подтверждающую их компетентность и беспристрастность. Присвоение спортивных разрядов осуществляется по результатам выступлений на всероссийских и международных турнирах, гарантируя честность и точность определения достижений.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Таким образом, утверждение единых правил и стандартов становится важнейшим инструментом регулирования и развития гонки дронов в России, укрепляющим репутацию этого вида спорта и способствующим повышению уровня подготовки отечественных пилотов.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Слайды 9-28. Викторина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1. В каком году состоялся первый официальный чемпионат мира по гонкам дронов?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ответ: в 2016 году (World Drone Prix в Дубае).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2. С какого года гонки дронов признаны видом спорта в России?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ответ: 2023 год.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3. Сколько регионов уже участвуют в Федерации гонок дронов России?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ответ: 59 регионов.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4. Какие факторы влияют на успех пилота в гонках дронов?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Возможные правильные ответы: мастерство управления, быстрая реакция, хорошее знание техники и стратегии прохождения трассы.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5. Какой термин обозначает связь пилота с дроном посредством шлема виртуальной реальности?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а.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FPV (First Person View)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б. POV (</w:t>
      </w:r>
      <w:r>
        <w:rPr>
          <w:rFonts w:ascii="Liberation Sans" w:hAnsi="Liberation Sans" w:eastAsia="Liberation Sans" w:cs="Liberation Sans"/>
          <w:color w:val="001d35"/>
          <w:sz w:val="27"/>
          <w:highlight w:val="white"/>
        </w:rPr>
        <w:t xml:space="preserve">Point of View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в. CPS (Cyber-Physical system)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6. Что такое «фиджитал-формат» в гонках дронов?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а. Соревнования дронов только в виртуальнойй реальности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б. Гонки исключительно на сцериальных трассах под открытым небом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rtl w:val="0"/>
        </w:rPr>
        <w:t xml:space="preserve">в. Совмещение реальных гонок с виртуальными тренировками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ответ: Гармоничное сочетание физических и цифровых технологий, позволяющее совмещать реальные гонки с виртуальными тренировками.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7. Как называется отечественный симулятор гонок дронов?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ответ: Квадросим.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8. Почему симуляторы важны для развития гонок дронов в России?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Правильные аргументы: облегчает обучение пилотов, уменьшает стоимость и риски реальных тренировок, развивает навыки виртуально.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9. Сколько дисциплин утверждено правилами Федерации гонок дронов России?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ответ: 8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10. Как называется проект, создающий мастерские для разработки и тестирования дронов в России?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ответ: Дрон-гараж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29. Достижение Российских спортсменов в гонках дронов и развитие беспилотных летательных аппаратов в России.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Российская Федерация уверенно заявляет о себе как о лидере в сфере гонок дронов, демонстрируя впечатляющие успехи пилотов и высокий уровень проводимых соревнований.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Чемпионат России по гонкам дронов 2024 года стал ярким подтверждением мастерства отечест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венных спортсменов, вновь доказавших своё превосходство на национальной арене. Всероссийский чемпионат по пилотированию беспилотников, прошедший в июле, собрал 120 команд из десятков регионов страны, а его победители показали поистине выдающиеся результаты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2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Особое значение для разви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тия этого динамичного вида спорта имеет Кубок мэра Москвы, который состоялся в августе 2024 года. Как отметил президент Федерации гонок дронов России Илья Галаев, эти соревнования станут первым официальным стартом мирового уровня для российских спортсменов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3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Успехи российских пилотов не ограничиваются внутренними турнирами. Так, многократный победитель первенств страны в различных классах, представитель Белгородской области, блестяще подтвердил свой профессионализм на этапах Кубка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Международный форум «Беспилотные системы: технологии будущего», прошедший в Моск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ве в августе 2024 года, наглядно продемонстрировал достижения отечественных разработчиков и экспортный потенциал российской индустрии дрон-рейсинга. На мероприятии было представлено более 750 высокотехнологичных продуктов, созданных российскими компаниями.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Важным шагом в популяризации этого направления стал Чемпионат по управлению беспилотными летательными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аппаратами «Пилоты будущего», инициированный Президентом России Владимиром Путиным. Кроме того, гонки дронов вошли в программу Международного фиджитал-турнира «Игры Будущего», что подчеркивает растущую популярность и официальное признание этого вида спорта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4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Федерация гонок дронов России активно расширяет свою деятельность, открывая региональные отделения и образовательные центры, способствуя вовлечению молодёжи в перспективное спортивное направление.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Особого внимания заслуживает форум «Архипелаг 2025» — ключевое событие года, посвя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щённое развитию новых технологических рынков, включая дроносферу, ближний космос и биотехнологии. В его рамках запланированы крупнейшие в стране соревнования беспилотников, которые станут ещё одним шагом к укреплению лидерских позиций России в этой области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5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Эти достижения не только подтверждают стремительный рост популярности гонок дронов в стране, но и укрепляют международный авторитет России как одного из флагманов фиджитал-спортивного движения.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30. Перспективы развития гонок дронов в России.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Перспективы развития гонок дронов в России предполагают комплексный подход, нацеленный на расширение охвата аудитории, интеграцию с различными социальными группами и усиление влияния на международном уровне.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Одним из прио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ритетов становится вовлечение молодежи и людей с ограниченными возможностями здоровья. Запуск юношеских лиг призван не только воспитать новое поколение пилотов, но и заложить основу для преемственности в спорте. Параллельно развивается инклюзивное направле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ние: адаптивные трассы и специализированные дроны позволят участникам с инвалидностью соревноваться наравне с остальными. Это не просто расширяет аудиторию, но и способствует социальной интеграции, превращая дрон-рейсинг в спорт будущего, доступный каждому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6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Чтобы обеспечить устойчивое развитие дисциплины, гонки дронов интегрируют в образовательные программы школ и вузов. Учебные курсы, совмещающие теорию беспилотных технологий с практическими полетами, помогут студентам осваивать акту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альные навыки. Одновременно будет расширяться система подготовки тренеров и педагогов, что позволит вывести обучение на качественно новый уровень. Такой подход не только популяризирует спорт, но и формирует кадровый резерв для высокотехнологичных отраслей.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Пока одни спортсмены совершенствуют мастерство ручного управления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другие сосредоточены на разработке автономных систем. Нейросети, способные самостоятельно прокладывать траектории и принимать решения в реальном времени, уже проходят испытания. В ближайшие годы нас ждут полноценные соревнования ИИ-дронов, где главным со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перником станет не человек, а алгоритм. Это не только поднимет зрелищность гонок, но и ускорит развитие автономных технологий, применяемых в логистике, мониторинге и других сферах. Но пока это только одна из возможных перспектив развития этого вида спорта.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Россия активно позиционирует себя как одного из лидеров в области беспилотных технологий. Несмотря на внешнеполитические сложности, ведется работа по укреплению связей с ключевыми игроками рынка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— от совместных разработок до участия в престижных выставках и чемпионатах. Продвижение отечественных брендов и технологий на международной арене не только усилит позиции страны, но и будет способствовать обмену опытом, задавая новые стандарты в индустрии.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Реализация этих инициатив способна превратить гонки дронов в значимый социальный и технологический феномен. Развитие молодежных и инклюзивных программ, интеграция в образование 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прорыв в автономных технологиях укрепят позиции России как центра инноваций. А выход на международный уровень откроет новые перспективы для отечественных разработчиков и спортсменов. Впереди эпоха, где скорость, технологии и доступность идут рука об руку.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9" w:h="16834" w:orient="portrait"/>
      <w:pgMar w:top="1133" w:right="1132" w:bottom="664" w:left="1133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Times New Roman" w:hAnsi="Times New Roman" w:eastAsia="Times New Roman" w:cs="Times New Roman"/>
      </w:rPr>
    </w:pPr>
    <w:r>
      <w:rPr>
        <w:rFonts w:ascii="Times New Roman" w:hAnsi="Times New Roman" w:eastAsia="Times New Roman" w:cs="Times New Roman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hAnsi="Times New Roman" w:eastAsia="Times New Roman" w:cs="Times New Roman"/>
      </w:rPr>
    </w:r>
    <w:r>
      <w:rPr>
        <w:rFonts w:ascii="Times New Roman" w:hAnsi="Times New Roman" w:eastAsia="Times New Roman" w:cs="Times New Roman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1" w:tooltip="https://hi-news.ru/entertainment/rossijskaya-komanda-vzyala-bronzu-na-pervom-v-mire-chempionate-po-gonkam-dronov.html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https://hi-news.ru/entertainment/rossijskaya-komanda-vzyala-bronzu-na-pervom-v-mire-chempionate-po-gonkam-dronov.html</w:t>
        </w:r>
      </w:hyperlink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3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2" w:tooltip="https://fgdr.ru/documents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https://fgdr.ru/documents</w:t>
        </w:r>
      </w:hyperlink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4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3" w:tooltip="http://publication.pravo.gov.ru/document/0001202307240092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http://publication.pravo.gov.ru/document/0001202307240092</w:t>
        </w:r>
      </w:hyperlink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5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4" w:tooltip="https://fgdr.ru/regions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https://fgdr.ru/regions</w:t>
        </w:r>
      </w:hyperlink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6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5" w:tooltip="https://xn--80adhqgqmpk.xn--p1ai/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https://xn--80adhqgqmpk.xn--p1ai/</w:t>
        </w:r>
      </w:hyperlink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7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6" w:tooltip="https://spbit.ru/news/V-Tekhnoparke-Sankt-Peterburga-testirovali-Kvadrosim-301807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https://spbit.ru/news/V-Tekhnoparke-Sankt-Peterburga-testirovali-Kvadrosim-301807</w:t>
        </w:r>
      </w:hyperlink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8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7" w:tooltip="https://www.pnp.ru/news/na-osnashhenie-shkol-oborudovaniem-dlya-izucheniya-dronov-vydelyat-83-mlrd-rubley.html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https://www.pnp.ru/news/na-osnashhenie-shkol-oborudovaniem-dlya-izucheniya-dronov-vydelyat-83-mlrd-rubley.html</w:t>
        </w:r>
      </w:hyperlink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9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8" w:tooltip="https://xn--80aapampemcchfmo7a3c9ehj.xn--p1ai/new-projects/bespilotnye-aviatsionnye-sistemy/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https://xn--80aapampemcchfmo7a3c9ehj.xn--p1ai/new-projects/bespilotnye-aviatsionnye-sistemy/</w:t>
        </w:r>
      </w:hyperlink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10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9" w:tooltip="https://ria.ru/20250812/bpla-2034837139.html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https://ria.ru/20250812/bpla-2034837139.html</w:t>
        </w:r>
      </w:hyperlink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11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10" w:tooltip="https://xn--80aapampemcchfmo7a3c9ehj.xn--p1ai/news/v-moskve-otkrylas-masterskaya-dron-garazh/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https://xn--80aapampemcchfmo7a3c9ehj.xn--p1ai/news/v-moskve-otkrylas-masterskaya-dron-garazh/</w:t>
        </w:r>
      </w:hyperlink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12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11" w:tooltip="https://www.1tv.ru/news/2024-07-08/480313-v_kazani_nagradili_pobediteley_vserossiyskogo_chempionata_po_pilotirovaniyu_dronov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https://www.1tv.ru/news/2024-07-08/480313-v_kazani_nagradili_pobediteley_vserossiyskogo_chempionata_po_pilotirovaniyu_dronov</w:t>
        </w:r>
      </w:hyperlink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13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12" w:tooltip="https://www.ntv.ru/novosti/2930161/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https://www.ntv.ru/novosti/2930161/</w:t>
        </w:r>
      </w:hyperlink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14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13" w:tooltip="https://russian.rt.com/sport/news/1414892-chernyshenko-igry-buduschego-olimpiada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https://russian.rt.com/sport/news/1414892-chernyshenko-igry-buduschego-olimpiada</w:t>
        </w:r>
      </w:hyperlink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15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14" w:tooltip="https://xn--90avqk.xn--p1ai/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https://xn--90avqk.xn--p1ai/</w:t>
        </w:r>
      </w:hyperlink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  <w:footnote w:id="16"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hyperlink r:id="rId15" w:tooltip="https://ria.ru/20250712/bpla-2028763581.html" w:history="1">
        <w:r>
          <w:rPr>
            <w:rFonts w:ascii="Times New Roman" w:hAnsi="Times New Roman" w:eastAsia="Times New Roman" w:cs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val="clear" w:color="auto" w:fill="auto"/>
            <w:vertAlign w:val="baseline"/>
            <w:rtl w:val="0"/>
          </w:rPr>
          <w:t xml:space="preserve">https://ria.ru/20250712/bpla-2028763581.html</w:t>
        </w:r>
      </w:hyperlink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zh-CN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37">
    <w:name w:val="Heading 1 Char"/>
    <w:basedOn w:val="1112"/>
    <w:link w:val="1105"/>
    <w:uiPriority w:val="9"/>
    <w:rPr>
      <w:rFonts w:ascii="Arial" w:hAnsi="Arial" w:eastAsia="Arial" w:cs="Arial"/>
      <w:sz w:val="40"/>
      <w:szCs w:val="40"/>
    </w:rPr>
  </w:style>
  <w:style w:type="character" w:styleId="938">
    <w:name w:val="Heading 2 Char"/>
    <w:basedOn w:val="1112"/>
    <w:link w:val="1106"/>
    <w:uiPriority w:val="9"/>
    <w:rPr>
      <w:rFonts w:ascii="Arial" w:hAnsi="Arial" w:eastAsia="Arial" w:cs="Arial"/>
      <w:sz w:val="34"/>
    </w:rPr>
  </w:style>
  <w:style w:type="character" w:styleId="939">
    <w:name w:val="Heading 3 Char"/>
    <w:basedOn w:val="1112"/>
    <w:link w:val="1107"/>
    <w:uiPriority w:val="9"/>
    <w:rPr>
      <w:rFonts w:ascii="Arial" w:hAnsi="Arial" w:eastAsia="Arial" w:cs="Arial"/>
      <w:sz w:val="30"/>
      <w:szCs w:val="30"/>
    </w:rPr>
  </w:style>
  <w:style w:type="character" w:styleId="940">
    <w:name w:val="Heading 4 Char"/>
    <w:basedOn w:val="1112"/>
    <w:link w:val="1108"/>
    <w:uiPriority w:val="9"/>
    <w:rPr>
      <w:rFonts w:ascii="Arial" w:hAnsi="Arial" w:eastAsia="Arial" w:cs="Arial"/>
      <w:b/>
      <w:bCs/>
      <w:sz w:val="26"/>
      <w:szCs w:val="26"/>
    </w:rPr>
  </w:style>
  <w:style w:type="character" w:styleId="941">
    <w:name w:val="Heading 5 Char"/>
    <w:basedOn w:val="1112"/>
    <w:link w:val="1109"/>
    <w:uiPriority w:val="9"/>
    <w:rPr>
      <w:rFonts w:ascii="Arial" w:hAnsi="Arial" w:eastAsia="Arial" w:cs="Arial"/>
      <w:b/>
      <w:bCs/>
      <w:sz w:val="24"/>
      <w:szCs w:val="24"/>
    </w:rPr>
  </w:style>
  <w:style w:type="character" w:styleId="942">
    <w:name w:val="Heading 6 Char"/>
    <w:basedOn w:val="1112"/>
    <w:link w:val="1110"/>
    <w:uiPriority w:val="9"/>
    <w:rPr>
      <w:rFonts w:ascii="Arial" w:hAnsi="Arial" w:eastAsia="Arial" w:cs="Arial"/>
      <w:b/>
      <w:bCs/>
      <w:sz w:val="22"/>
      <w:szCs w:val="22"/>
    </w:rPr>
  </w:style>
  <w:style w:type="paragraph" w:styleId="943">
    <w:name w:val="Heading 7"/>
    <w:basedOn w:val="1104"/>
    <w:next w:val="1104"/>
    <w:link w:val="9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44">
    <w:name w:val="Heading 7 Char"/>
    <w:basedOn w:val="1112"/>
    <w:link w:val="9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45">
    <w:name w:val="Heading 8"/>
    <w:basedOn w:val="1104"/>
    <w:next w:val="1104"/>
    <w:link w:val="9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46">
    <w:name w:val="Heading 8 Char"/>
    <w:basedOn w:val="1112"/>
    <w:link w:val="945"/>
    <w:uiPriority w:val="9"/>
    <w:rPr>
      <w:rFonts w:ascii="Arial" w:hAnsi="Arial" w:eastAsia="Arial" w:cs="Arial"/>
      <w:i/>
      <w:iCs/>
      <w:sz w:val="22"/>
      <w:szCs w:val="22"/>
    </w:rPr>
  </w:style>
  <w:style w:type="paragraph" w:styleId="947">
    <w:name w:val="Heading 9"/>
    <w:basedOn w:val="1104"/>
    <w:next w:val="1104"/>
    <w:link w:val="9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48">
    <w:name w:val="Heading 9 Char"/>
    <w:basedOn w:val="1112"/>
    <w:link w:val="947"/>
    <w:uiPriority w:val="9"/>
    <w:rPr>
      <w:rFonts w:ascii="Arial" w:hAnsi="Arial" w:eastAsia="Arial" w:cs="Arial"/>
      <w:i/>
      <w:iCs/>
      <w:sz w:val="21"/>
      <w:szCs w:val="21"/>
    </w:rPr>
  </w:style>
  <w:style w:type="paragraph" w:styleId="949">
    <w:name w:val="List Paragraph"/>
    <w:basedOn w:val="1104"/>
    <w:uiPriority w:val="34"/>
    <w:qFormat/>
    <w:pPr>
      <w:contextualSpacing/>
      <w:ind w:left="720"/>
    </w:pPr>
  </w:style>
  <w:style w:type="paragraph" w:styleId="950">
    <w:name w:val="No Spacing"/>
    <w:uiPriority w:val="1"/>
    <w:qFormat/>
    <w:pPr>
      <w:spacing w:before="0" w:after="0" w:line="240" w:lineRule="auto"/>
    </w:pPr>
  </w:style>
  <w:style w:type="character" w:styleId="951">
    <w:name w:val="Title Char"/>
    <w:basedOn w:val="1112"/>
    <w:link w:val="1111"/>
    <w:uiPriority w:val="10"/>
    <w:rPr>
      <w:sz w:val="48"/>
      <w:szCs w:val="48"/>
    </w:rPr>
  </w:style>
  <w:style w:type="character" w:styleId="952">
    <w:name w:val="Subtitle Char"/>
    <w:basedOn w:val="1112"/>
    <w:link w:val="1131"/>
    <w:uiPriority w:val="11"/>
    <w:rPr>
      <w:sz w:val="24"/>
      <w:szCs w:val="24"/>
    </w:rPr>
  </w:style>
  <w:style w:type="paragraph" w:styleId="953">
    <w:name w:val="Quote"/>
    <w:basedOn w:val="1104"/>
    <w:next w:val="1104"/>
    <w:link w:val="954"/>
    <w:uiPriority w:val="29"/>
    <w:qFormat/>
    <w:pPr>
      <w:ind w:left="720" w:right="720"/>
    </w:pPr>
    <w:rPr>
      <w:i/>
    </w:rPr>
  </w:style>
  <w:style w:type="character" w:styleId="954">
    <w:name w:val="Quote Char"/>
    <w:link w:val="953"/>
    <w:uiPriority w:val="29"/>
    <w:rPr>
      <w:i/>
    </w:rPr>
  </w:style>
  <w:style w:type="paragraph" w:styleId="955">
    <w:name w:val="Intense Quote"/>
    <w:basedOn w:val="1104"/>
    <w:next w:val="1104"/>
    <w:link w:val="9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56">
    <w:name w:val="Intense Quote Char"/>
    <w:link w:val="955"/>
    <w:uiPriority w:val="30"/>
    <w:rPr>
      <w:i/>
    </w:rPr>
  </w:style>
  <w:style w:type="paragraph" w:styleId="957">
    <w:name w:val="Header"/>
    <w:basedOn w:val="1104"/>
    <w:link w:val="9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58">
    <w:name w:val="Header Char"/>
    <w:basedOn w:val="1112"/>
    <w:link w:val="957"/>
    <w:uiPriority w:val="99"/>
  </w:style>
  <w:style w:type="paragraph" w:styleId="959">
    <w:name w:val="Footer"/>
    <w:basedOn w:val="1104"/>
    <w:link w:val="9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60">
    <w:name w:val="Footer Char"/>
    <w:basedOn w:val="1112"/>
    <w:link w:val="959"/>
    <w:uiPriority w:val="99"/>
  </w:style>
  <w:style w:type="paragraph" w:styleId="961">
    <w:name w:val="Caption"/>
    <w:basedOn w:val="1104"/>
    <w:next w:val="11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62">
    <w:name w:val="Caption Char"/>
    <w:basedOn w:val="961"/>
    <w:link w:val="959"/>
    <w:uiPriority w:val="99"/>
  </w:style>
  <w:style w:type="table" w:styleId="963">
    <w:name w:val="Table Grid"/>
    <w:basedOn w:val="11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4">
    <w:name w:val="Table Grid Light"/>
    <w:basedOn w:val="11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5">
    <w:name w:val="Plain Table 1"/>
    <w:basedOn w:val="11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66">
    <w:name w:val="Plain Table 2"/>
    <w:basedOn w:val="11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67">
    <w:name w:val="Plain Table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68">
    <w:name w:val="Plain Table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>
    <w:name w:val="Plain Table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70">
    <w:name w:val="Grid Table 1 Light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>
    <w:name w:val="Grid Table 1 Light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>
    <w:name w:val="Grid Table 1 Light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>
    <w:name w:val="Grid Table 1 Light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>
    <w:name w:val="Grid Table 1 Light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Grid Table 1 Light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>
    <w:name w:val="Grid Table 1 Light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Grid Table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Grid Table 2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Grid Table 2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>
    <w:name w:val="Grid Table 2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Grid Table 2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>
    <w:name w:val="Grid Table 2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>
    <w:name w:val="Grid Table 2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>
    <w:name w:val="Grid Table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>
    <w:name w:val="Grid Table 3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>
    <w:name w:val="Grid Table 3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>
    <w:name w:val="Grid Table 3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>
    <w:name w:val="Grid Table 3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>
    <w:name w:val="Grid Table 3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>
    <w:name w:val="Grid Table 3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>
    <w:name w:val="Grid Table 4"/>
    <w:basedOn w:val="11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92">
    <w:name w:val="Grid Table 4 - Accent 1"/>
    <w:basedOn w:val="11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93">
    <w:name w:val="Grid Table 4 - Accent 2"/>
    <w:basedOn w:val="11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94">
    <w:name w:val="Grid Table 4 - Accent 3"/>
    <w:basedOn w:val="11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95">
    <w:name w:val="Grid Table 4 - Accent 4"/>
    <w:basedOn w:val="11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96">
    <w:name w:val="Grid Table 4 - Accent 5"/>
    <w:basedOn w:val="11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97">
    <w:name w:val="Grid Table 4 - Accent 6"/>
    <w:basedOn w:val="11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98">
    <w:name w:val="Grid Table 5 Dark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99">
    <w:name w:val="Grid Table 5 Dark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000">
    <w:name w:val="Grid Table 5 Dark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001">
    <w:name w:val="Grid Table 5 Dark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002">
    <w:name w:val="Grid Table 5 Dark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003">
    <w:name w:val="Grid Table 5 Dark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004">
    <w:name w:val="Grid Table 5 Dark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005">
    <w:name w:val="Grid Table 6 Colorful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06">
    <w:name w:val="Grid Table 6 Colorful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07">
    <w:name w:val="Grid Table 6 Colorful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08">
    <w:name w:val="Grid Table 6 Colorful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09">
    <w:name w:val="Grid Table 6 Colorful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10">
    <w:name w:val="Grid Table 6 Colorful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1">
    <w:name w:val="Grid Table 6 Colorful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2">
    <w:name w:val="Grid Table 7 Colorful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3">
    <w:name w:val="Grid Table 7 Colorful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>
    <w:name w:val="Grid Table 7 Colorful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>
    <w:name w:val="Grid Table 7 Colorful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Grid Table 7 Colorful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>
    <w:name w:val="Grid Table 7 Colorful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>
    <w:name w:val="Grid Table 7 Colorful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>
    <w:name w:val="List Table 1 Light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>
    <w:name w:val="List Table 1 Light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>
    <w:name w:val="List Table 1 Light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>
    <w:name w:val="List Table 1 Light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>
    <w:name w:val="List Table 1 Light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>
    <w:name w:val="List Table 1 Light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>
    <w:name w:val="List Table 1 Light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>
    <w:name w:val="List Table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27">
    <w:name w:val="List Table 2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28">
    <w:name w:val="List Table 2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29">
    <w:name w:val="List Table 2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30">
    <w:name w:val="List Table 2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31">
    <w:name w:val="List Table 2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32">
    <w:name w:val="List Table 2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33">
    <w:name w:val="List Table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4">
    <w:name w:val="List Table 3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5">
    <w:name w:val="List Table 3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6">
    <w:name w:val="List Table 3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7">
    <w:name w:val="List Table 3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8">
    <w:name w:val="List Table 3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9">
    <w:name w:val="List Table 3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>
    <w:name w:val="List Table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1">
    <w:name w:val="List Table 4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>
    <w:name w:val="List Table 4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3">
    <w:name w:val="List Table 4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4">
    <w:name w:val="List Table 4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5">
    <w:name w:val="List Table 4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6">
    <w:name w:val="List Table 4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7">
    <w:name w:val="List Table 5 Dark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48">
    <w:name w:val="List Table 5 Dark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49">
    <w:name w:val="List Table 5 Dark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0">
    <w:name w:val="List Table 5 Dark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1">
    <w:name w:val="List Table 5 Dark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2">
    <w:name w:val="List Table 5 Dark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3">
    <w:name w:val="List Table 5 Dark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4">
    <w:name w:val="List Table 6 Colorful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55">
    <w:name w:val="List Table 6 Colorful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56">
    <w:name w:val="List Table 6 Colorful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57">
    <w:name w:val="List Table 6 Colorful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58">
    <w:name w:val="List Table 6 Colorful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59">
    <w:name w:val="List Table 6 Colorful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60">
    <w:name w:val="List Table 6 Colorful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61">
    <w:name w:val="List Table 7 Colorful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62">
    <w:name w:val="List Table 7 Colorful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063">
    <w:name w:val="List Table 7 Colorful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064">
    <w:name w:val="List Table 7 Colorful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065">
    <w:name w:val="List Table 7 Colorful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066">
    <w:name w:val="List Table 7 Colorful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067">
    <w:name w:val="List Table 7 Colorful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068">
    <w:name w:val="Lined - Accent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69">
    <w:name w:val="Lined - Accent 1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70">
    <w:name w:val="Lined - Accent 2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71">
    <w:name w:val="Lined - Accent 3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72">
    <w:name w:val="Lined - Accent 4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73">
    <w:name w:val="Lined - Accent 5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74">
    <w:name w:val="Lined - Accent 6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75">
    <w:name w:val="Bordered &amp; Lined - Accent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76">
    <w:name w:val="Bordered &amp; Lined - Accent 1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77">
    <w:name w:val="Bordered &amp; Lined - Accent 2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78">
    <w:name w:val="Bordered &amp; Lined - Accent 3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79">
    <w:name w:val="Bordered &amp; Lined - Accent 4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80">
    <w:name w:val="Bordered &amp; Lined - Accent 5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81">
    <w:name w:val="Bordered &amp; Lined - Accent 6"/>
    <w:basedOn w:val="11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82">
    <w:name w:val="Bordered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83">
    <w:name w:val="Bordered - Accent 1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84">
    <w:name w:val="Bordered - Accent 2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85">
    <w:name w:val="Bordered - Accent 3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86">
    <w:name w:val="Bordered - Accent 4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87">
    <w:name w:val="Bordered - Accent 5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88">
    <w:name w:val="Bordered - Accent 6"/>
    <w:basedOn w:val="11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89">
    <w:name w:val="Footnote Text Char"/>
    <w:link w:val="1126"/>
    <w:uiPriority w:val="99"/>
    <w:rPr>
      <w:sz w:val="18"/>
    </w:rPr>
  </w:style>
  <w:style w:type="paragraph" w:styleId="1090">
    <w:name w:val="endnote text"/>
    <w:basedOn w:val="1104"/>
    <w:link w:val="1091"/>
    <w:uiPriority w:val="99"/>
    <w:semiHidden/>
    <w:unhideWhenUsed/>
    <w:pPr>
      <w:spacing w:after="0" w:line="240" w:lineRule="auto"/>
    </w:pPr>
    <w:rPr>
      <w:sz w:val="20"/>
    </w:rPr>
  </w:style>
  <w:style w:type="character" w:styleId="1091">
    <w:name w:val="Endnote Text Char"/>
    <w:link w:val="1090"/>
    <w:uiPriority w:val="99"/>
    <w:rPr>
      <w:sz w:val="20"/>
    </w:rPr>
  </w:style>
  <w:style w:type="character" w:styleId="1092">
    <w:name w:val="endnote reference"/>
    <w:basedOn w:val="1112"/>
    <w:uiPriority w:val="99"/>
    <w:semiHidden/>
    <w:unhideWhenUsed/>
    <w:rPr>
      <w:vertAlign w:val="superscript"/>
    </w:rPr>
  </w:style>
  <w:style w:type="paragraph" w:styleId="1093">
    <w:name w:val="toc 1"/>
    <w:basedOn w:val="1104"/>
    <w:next w:val="1104"/>
    <w:uiPriority w:val="39"/>
    <w:unhideWhenUsed/>
    <w:pPr>
      <w:ind w:left="0" w:right="0" w:firstLine="0"/>
      <w:spacing w:after="57"/>
    </w:pPr>
  </w:style>
  <w:style w:type="paragraph" w:styleId="1094">
    <w:name w:val="toc 2"/>
    <w:basedOn w:val="1104"/>
    <w:next w:val="1104"/>
    <w:uiPriority w:val="39"/>
    <w:unhideWhenUsed/>
    <w:pPr>
      <w:ind w:left="283" w:right="0" w:firstLine="0"/>
      <w:spacing w:after="57"/>
    </w:pPr>
  </w:style>
  <w:style w:type="paragraph" w:styleId="1095">
    <w:name w:val="toc 3"/>
    <w:basedOn w:val="1104"/>
    <w:next w:val="1104"/>
    <w:uiPriority w:val="39"/>
    <w:unhideWhenUsed/>
    <w:pPr>
      <w:ind w:left="567" w:right="0" w:firstLine="0"/>
      <w:spacing w:after="57"/>
    </w:pPr>
  </w:style>
  <w:style w:type="paragraph" w:styleId="1096">
    <w:name w:val="toc 4"/>
    <w:basedOn w:val="1104"/>
    <w:next w:val="1104"/>
    <w:uiPriority w:val="39"/>
    <w:unhideWhenUsed/>
    <w:pPr>
      <w:ind w:left="850" w:right="0" w:firstLine="0"/>
      <w:spacing w:after="57"/>
    </w:pPr>
  </w:style>
  <w:style w:type="paragraph" w:styleId="1097">
    <w:name w:val="toc 5"/>
    <w:basedOn w:val="1104"/>
    <w:next w:val="1104"/>
    <w:uiPriority w:val="39"/>
    <w:unhideWhenUsed/>
    <w:pPr>
      <w:ind w:left="1134" w:right="0" w:firstLine="0"/>
      <w:spacing w:after="57"/>
    </w:pPr>
  </w:style>
  <w:style w:type="paragraph" w:styleId="1098">
    <w:name w:val="toc 6"/>
    <w:basedOn w:val="1104"/>
    <w:next w:val="1104"/>
    <w:uiPriority w:val="39"/>
    <w:unhideWhenUsed/>
    <w:pPr>
      <w:ind w:left="1417" w:right="0" w:firstLine="0"/>
      <w:spacing w:after="57"/>
    </w:pPr>
  </w:style>
  <w:style w:type="paragraph" w:styleId="1099">
    <w:name w:val="toc 7"/>
    <w:basedOn w:val="1104"/>
    <w:next w:val="1104"/>
    <w:uiPriority w:val="39"/>
    <w:unhideWhenUsed/>
    <w:pPr>
      <w:ind w:left="1701" w:right="0" w:firstLine="0"/>
      <w:spacing w:after="57"/>
    </w:pPr>
  </w:style>
  <w:style w:type="paragraph" w:styleId="1100">
    <w:name w:val="toc 8"/>
    <w:basedOn w:val="1104"/>
    <w:next w:val="1104"/>
    <w:uiPriority w:val="39"/>
    <w:unhideWhenUsed/>
    <w:pPr>
      <w:ind w:left="1984" w:right="0" w:firstLine="0"/>
      <w:spacing w:after="57"/>
    </w:pPr>
  </w:style>
  <w:style w:type="paragraph" w:styleId="1101">
    <w:name w:val="toc 9"/>
    <w:basedOn w:val="1104"/>
    <w:next w:val="1104"/>
    <w:uiPriority w:val="39"/>
    <w:unhideWhenUsed/>
    <w:pPr>
      <w:ind w:left="2268" w:right="0" w:firstLine="0"/>
      <w:spacing w:after="57"/>
    </w:pPr>
  </w:style>
  <w:style w:type="paragraph" w:styleId="1102">
    <w:name w:val="TOC Heading"/>
    <w:uiPriority w:val="39"/>
    <w:unhideWhenUsed/>
  </w:style>
  <w:style w:type="paragraph" w:styleId="1103">
    <w:name w:val="table of figures"/>
    <w:basedOn w:val="1104"/>
    <w:next w:val="1104"/>
    <w:uiPriority w:val="99"/>
    <w:unhideWhenUsed/>
    <w:pPr>
      <w:spacing w:after="0" w:afterAutospacing="0"/>
    </w:pPr>
  </w:style>
  <w:style w:type="paragraph" w:styleId="1104" w:default="1">
    <w:name w:val="Normal"/>
  </w:style>
  <w:style w:type="paragraph" w:styleId="1105">
    <w:name w:val="Heading 1"/>
    <w:basedOn w:val="1104"/>
    <w:next w:val="1104"/>
    <w:pPr>
      <w:keepLines/>
      <w:keepNext/>
      <w:spacing w:before="400" w:after="120"/>
    </w:pPr>
    <w:rPr>
      <w:sz w:val="40"/>
      <w:szCs w:val="40"/>
    </w:rPr>
  </w:style>
  <w:style w:type="paragraph" w:styleId="1106">
    <w:name w:val="Heading 2"/>
    <w:basedOn w:val="1104"/>
    <w:next w:val="1104"/>
    <w:pPr>
      <w:keepLines/>
      <w:keepNext/>
      <w:spacing w:before="360" w:after="120"/>
    </w:pPr>
    <w:rPr>
      <w:sz w:val="32"/>
      <w:szCs w:val="32"/>
    </w:rPr>
  </w:style>
  <w:style w:type="paragraph" w:styleId="1107">
    <w:name w:val="Heading 3"/>
    <w:basedOn w:val="1104"/>
    <w:next w:val="1104"/>
    <w:pPr>
      <w:keepLines/>
      <w:keepNext/>
      <w:spacing w:before="320" w:after="80"/>
    </w:pPr>
    <w:rPr>
      <w:color w:val="434343"/>
      <w:sz w:val="28"/>
      <w:szCs w:val="28"/>
    </w:rPr>
  </w:style>
  <w:style w:type="paragraph" w:styleId="1108">
    <w:name w:val="Heading 4"/>
    <w:basedOn w:val="1104"/>
    <w:next w:val="1104"/>
    <w:pPr>
      <w:keepLines/>
      <w:keepNext/>
      <w:spacing w:before="280" w:after="80"/>
    </w:pPr>
    <w:rPr>
      <w:color w:val="666666"/>
      <w:sz w:val="24"/>
      <w:szCs w:val="24"/>
    </w:rPr>
  </w:style>
  <w:style w:type="paragraph" w:styleId="1109">
    <w:name w:val="Heading 5"/>
    <w:basedOn w:val="1104"/>
    <w:next w:val="1104"/>
    <w:pPr>
      <w:keepLines/>
      <w:keepNext/>
      <w:spacing w:before="240" w:after="80"/>
    </w:pPr>
    <w:rPr>
      <w:color w:val="666666"/>
    </w:rPr>
  </w:style>
  <w:style w:type="paragraph" w:styleId="1110">
    <w:name w:val="Heading 6"/>
    <w:basedOn w:val="1104"/>
    <w:next w:val="1104"/>
    <w:pPr>
      <w:keepLines/>
      <w:keepNext/>
      <w:spacing w:before="240" w:after="80"/>
    </w:pPr>
    <w:rPr>
      <w:i/>
      <w:color w:val="666666"/>
    </w:rPr>
  </w:style>
  <w:style w:type="paragraph" w:styleId="1111">
    <w:name w:val="Title"/>
    <w:basedOn w:val="1104"/>
    <w:next w:val="1104"/>
    <w:pPr>
      <w:keepLines/>
      <w:keepNext/>
      <w:spacing w:after="60"/>
    </w:pPr>
    <w:rPr>
      <w:sz w:val="52"/>
      <w:szCs w:val="52"/>
    </w:rPr>
  </w:style>
  <w:style w:type="character" w:styleId="1112" w:default="1">
    <w:name w:val="Default Paragraph Font"/>
    <w:uiPriority w:val="1"/>
    <w:semiHidden/>
    <w:unhideWhenUsed/>
  </w:style>
  <w:style w:type="table" w:styleId="11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14" w:default="1">
    <w:name w:val="No List"/>
    <w:uiPriority w:val="99"/>
    <w:semiHidden/>
    <w:unhideWhenUsed/>
  </w:style>
  <w:style w:type="table" w:styleId="111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1117">
    <w:name w:val="annotation reference"/>
    <w:basedOn w:val="1112"/>
    <w:uiPriority w:val="99"/>
    <w:semiHidden/>
    <w:unhideWhenUsed/>
    <w:rPr>
      <w:sz w:val="16"/>
      <w:szCs w:val="16"/>
    </w:rPr>
  </w:style>
  <w:style w:type="paragraph" w:styleId="1118">
    <w:name w:val="annotation text"/>
    <w:link w:val="111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1119" w:customStyle="1">
    <w:name w:val="Текст примечания Знак"/>
    <w:basedOn w:val="1112"/>
    <w:link w:val="1118"/>
    <w:uiPriority w:val="99"/>
    <w:semiHidden/>
    <w:rPr>
      <w:sz w:val="20"/>
      <w:szCs w:val="20"/>
    </w:rPr>
  </w:style>
  <w:style w:type="paragraph" w:styleId="1120">
    <w:name w:val="annotation subject"/>
    <w:basedOn w:val="1118"/>
    <w:next w:val="1118"/>
    <w:link w:val="1121"/>
    <w:uiPriority w:val="99"/>
    <w:semiHidden/>
    <w:unhideWhenUsed/>
    <w:rPr>
      <w:b/>
      <w:bCs/>
    </w:rPr>
  </w:style>
  <w:style w:type="character" w:styleId="1121" w:customStyle="1">
    <w:name w:val="Тема примечания Знак"/>
    <w:basedOn w:val="1119"/>
    <w:link w:val="1120"/>
    <w:uiPriority w:val="99"/>
    <w:semiHidden/>
    <w:rPr>
      <w:b/>
      <w:bCs/>
      <w:sz w:val="20"/>
      <w:szCs w:val="20"/>
    </w:rPr>
  </w:style>
  <w:style w:type="paragraph" w:styleId="1122">
    <w:name w:val="Balloon Text"/>
    <w:link w:val="1123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1123" w:customStyle="1">
    <w:name w:val="Текст выноски Знак"/>
    <w:basedOn w:val="1112"/>
    <w:link w:val="1122"/>
    <w:uiPriority w:val="99"/>
    <w:semiHidden/>
    <w:rPr>
      <w:rFonts w:ascii="Tahoma" w:hAnsi="Tahoma" w:cs="Tahoma"/>
      <w:sz w:val="16"/>
      <w:szCs w:val="16"/>
    </w:rPr>
  </w:style>
  <w:style w:type="paragraph" w:styleId="1124">
    <w:name w:val="Normal (Web)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125" w:customStyle="1">
    <w:name w:val="ds-markdown-paragraph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126">
    <w:name w:val="footnote text"/>
    <w:link w:val="112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1127" w:customStyle="1">
    <w:name w:val="Текст сноски Знак"/>
    <w:basedOn w:val="1112"/>
    <w:link w:val="1126"/>
    <w:uiPriority w:val="99"/>
    <w:semiHidden/>
    <w:rPr>
      <w:sz w:val="20"/>
      <w:szCs w:val="20"/>
    </w:rPr>
  </w:style>
  <w:style w:type="character" w:styleId="1128">
    <w:name w:val="footnote reference"/>
    <w:basedOn w:val="1112"/>
    <w:uiPriority w:val="99"/>
    <w:semiHidden/>
    <w:unhideWhenUsed/>
    <w:rPr>
      <w:vertAlign w:val="superscript"/>
    </w:rPr>
  </w:style>
  <w:style w:type="character" w:styleId="1129">
    <w:name w:val="Hyperlink"/>
    <w:basedOn w:val="1112"/>
    <w:uiPriority w:val="99"/>
    <w:unhideWhenUsed/>
    <w:rPr>
      <w:color w:val="0000ff" w:themeColor="hyperlink"/>
      <w:u w:val="single"/>
    </w:rPr>
  </w:style>
  <w:style w:type="character" w:styleId="1130">
    <w:name w:val="Unresolved Mention"/>
    <w:basedOn w:val="1112"/>
    <w:uiPriority w:val="99"/>
    <w:semiHidden/>
    <w:unhideWhenUsed/>
    <w:rPr>
      <w:color w:val="605e5c"/>
      <w:shd w:val="clear" w:color="auto" w:fill="e1dfdd"/>
    </w:rPr>
  </w:style>
  <w:style w:type="paragraph" w:styleId="1131">
    <w:name w:val="Subtitle"/>
    <w:basedOn w:val="1104"/>
    <w:next w:val="1104"/>
    <w:pPr>
      <w:keepLines/>
      <w:keepNext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hi-news.ru/entertainment/rossijskaya-komanda-vzyala-bronzu-na-pervom-v-mire-chempionate-po-gonkam-dronov.html" TargetMode="External"/><Relationship Id="rId2" Type="http://schemas.openxmlformats.org/officeDocument/2006/relationships/hyperlink" Target="https://fgdr.ru/documents" TargetMode="External"/><Relationship Id="rId3" Type="http://schemas.openxmlformats.org/officeDocument/2006/relationships/hyperlink" Target="http://publication.pravo.gov.ru/document/0001202307240092" TargetMode="External"/><Relationship Id="rId4" Type="http://schemas.openxmlformats.org/officeDocument/2006/relationships/hyperlink" Target="https://fgdr.ru/regions" TargetMode="External"/><Relationship Id="rId5" Type="http://schemas.openxmlformats.org/officeDocument/2006/relationships/hyperlink" Target="https://xn--80adhqgqmpk.xn--p1ai/" TargetMode="External"/><Relationship Id="rId6" Type="http://schemas.openxmlformats.org/officeDocument/2006/relationships/hyperlink" Target="https://spbit.ru/news/V-Tekhnoparke-Sankt-Peterburga-testirovali-Kvadrosim-301807" TargetMode="External"/><Relationship Id="rId7" Type="http://schemas.openxmlformats.org/officeDocument/2006/relationships/hyperlink" Target="https://www.pnp.ru/news/na-osnashhenie-shkol-oborudovaniem-dlya-izucheniya-dronov-vydelyat-83-mlrd-rubley.html" TargetMode="External"/><Relationship Id="rId8" Type="http://schemas.openxmlformats.org/officeDocument/2006/relationships/hyperlink" Target="https://xn--80aapampemcchfmo7a3c9ehj.xn--p1ai/new-projects/bespilotnye-aviatsionnye-sistemy/" TargetMode="External"/><Relationship Id="rId9" Type="http://schemas.openxmlformats.org/officeDocument/2006/relationships/hyperlink" Target="https://ria.ru/20250812/bpla-2034837139.html" TargetMode="External"/><Relationship Id="rId10" Type="http://schemas.openxmlformats.org/officeDocument/2006/relationships/hyperlink" Target="https://xn--80aapampemcchfmo7a3c9ehj.xn--p1ai/news/v-moskve-otkrylas-masterskaya-dron-garazh/" TargetMode="External"/><Relationship Id="rId11" Type="http://schemas.openxmlformats.org/officeDocument/2006/relationships/hyperlink" Target="https://www.1tv.ru/news/2024-07-08/480313-v_kazani_nagradili_pobediteley_vserossiyskogo_chempionata_po_pilotirovaniyu_dronov" TargetMode="External"/><Relationship Id="rId12" Type="http://schemas.openxmlformats.org/officeDocument/2006/relationships/hyperlink" Target="https://www.ntv.ru/novosti/2930161/" TargetMode="External"/><Relationship Id="rId13" Type="http://schemas.openxmlformats.org/officeDocument/2006/relationships/hyperlink" Target="https://russian.rt.com/sport/news/1414892-chernyshenko-igry-buduschego-olimpiada" TargetMode="External"/><Relationship Id="rId14" Type="http://schemas.openxmlformats.org/officeDocument/2006/relationships/hyperlink" Target="https://xn--90avqk.xn--p1ai/" TargetMode="External"/><Relationship Id="rId15" Type="http://schemas.openxmlformats.org/officeDocument/2006/relationships/hyperlink" Target="https://ria.ru/20250712/bpla-2028763581.html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dQF7uO18OLmgXGqXPBfMo/bKg==">CgMxLjA4AHIhMWx5M1BBYVdfSWFrVjVLWUR2eElCUmR3TkQzVGdfWWkz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Анастасия Серафимовна</dc:creator>
  <cp:lastModifiedBy>Дарья Комарова</cp:lastModifiedBy>
  <cp:revision>2</cp:revision>
  <dcterms:created xsi:type="dcterms:W3CDTF">2025-08-19T09:16:00Z</dcterms:created>
  <dcterms:modified xsi:type="dcterms:W3CDTF">2025-09-04T06:42:40Z</dcterms:modified>
</cp:coreProperties>
</file>