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Сценарий 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«Изобретения Победы»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Москва, 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hanging="2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hanging="2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осветить достижения советских учёных и конструкторов в сфере научных и технологических разработок, которые способствовали успехам Красной Армии во время Великой Отечественной Войны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служение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Продемонстрировать наиболее значимы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изобретения и технологии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созданны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СССР во время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еликой Отечественно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Продемонстрировать, как эффективно была выстроена система взаимодействия между учёными, конструкторскими бюро и армией.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Рассказать, что зачастую испытания технологических разработок проходили в условиях боя на передовой. Результаты испытаний сразу влияли на совершенствование технологий и процесс производства.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Привести примеры того, как смекалка и находчивость советских учёных привели к выдающимся достижениям в науке и технике.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28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 w:after="2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 w:after="2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обучающиеся среднего и старшего школьного возраста (8–11 классы), студенты СПО и первых курсов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вузов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8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методические рекомендации;</w:t>
        <w:br/>
        <w:t xml:space="preserve"> 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Готовя нападение на Советский Союз, главари нацистской Германии и её сателлитов не 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ряд важнейших факторов. В первую очередь – готовность советского народа к самопожертвованию ради свободы и независимости страны.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Проглядели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они и потенциал советской науки и патриотизм советских учёных, способных добиваться поставленных целей посредством мобилизации всех своих сил и решения сложнейших задач в кратчайшие сроки.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Великая Отечественная война 1941–1945 гг. стала не только битвой армий, танков, артиллерии, военно-морских флотов, но и битвой умов. От того, чья мысль оказывалась точнее и глубже, во многом зависел исход сражений.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Совершенное, не значит лучшее. Простое, не значит легкое. Для того что бы создать что-то стоящее, Советские ученые и конструкторы рег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улярно проводили ряд испытаний и проверок своих изобретений. Благодаря их самоотверженному труду наша армия получала простые, удобные и неприхотливые в использовании изобретения, отчего они становились крайне популярными. Предлагаю сходу ответить на вопрос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7145" cy="28829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287145" cy="288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35pt;height:22.70pt;mso-wrap-distance-left:0.00pt;mso-wrap-distance-top:0.00pt;mso-wrap-distance-right:0.00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Регистрация участников в интерум. Для регистрации нужно ответить на вопрос перейдя по ссылке на экране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Назовите самый известный советский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танк.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1. КВ-1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2. ИС-2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3. Т-34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– правильный ответ</w:t>
      </w:r>
      <w:r/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4. БТ-7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Наука на службе Родине.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самого начала войны ученые со всех концов СССР активно включились в работу. 23 июня 1941 г.  на заседании Академии наук СССР было принято решение: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 «Немедленно пересмотреть тематику и методы исследовательских работ, направив всю творческую инициативу и энергию научных работников на выполнение задач 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по укреплению военной мощи нашей социалистической Родины. Обеспечить научными силами и средствами научно-исследовательские работы по оборонной тематике, закончить научно-исследовательские работы, могущие получить применение в обороне и народном хозяйстве».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Научным сообществом Советского Союза была сформулирована концепция деятелей науки, полностью созвучная с лозунгом всего советского народа: «Все для фронта, все для победы».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Уже 10 июля 1941 года был создан Научно-технический комитет при </w:t>
      </w:r>
      <w:hyperlink r:id="rId11" w:tooltip="https://ru.wikipedia.org/wiki/%D0%93%D0%9A%D0%9E_%D0%A1%D0%A1%D0%A1%D0%A0" w:history="1">
        <w:r>
          <w:rPr>
            <w:rFonts w:ascii="Times New Roman" w:hAnsi="Times New Roman" w:eastAsia="Times New Roman" w:cs="Times New Roman"/>
            <w:sz w:val="28"/>
            <w:szCs w:val="28"/>
            <w:rtl w:val="0"/>
          </w:rPr>
          <w:t xml:space="preserve">Государственном комитете обороны СССР</w:t>
        </w:r>
      </w:hyperlink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наделённый большими полномочиями, в состав комитета были включены многие крупнейшие учёны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е</w:t>
      </w:r>
      <w:r>
        <w:rPr>
          <w:rFonts w:ascii="Arial" w:hAnsi="Arial" w:eastAsia="Arial" w:cs="Arial"/>
          <w:color w:val="202122"/>
          <w:sz w:val="21"/>
          <w:szCs w:val="21"/>
          <w:rtl w:val="0"/>
        </w:rPr>
        <w:t xml:space="preserve">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В августе 1941 г. был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принят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 комплексный план работы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кадемии в условиях войны. Он включал в себя 245 приоритетных тем, так или иначе связанных с военным производством и техническим оснащением Красной Армии,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в частности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разработкой новых видов вооружений, боеприпасов и технологий, а также санитарных и лечебных средств.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Выполнение новых задач потребовало создани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специальных учреждений в системе Академии наук СССР, чьей целью было выявить скрытые ресурсы страны, которые можно было направить на оборону государства и развитие национального хозяйства.</w:t>
      </w:r>
      <w:r>
        <w:rPr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 были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комиссии, для разработки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определённых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оборонных тем или консультативной помощи (по противотанковым средствам, военной географии, аэро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съёмке и маскировке, геолого-географическому обслуживанию, морская гидрофизическая лаборатория, военно-санитарная), а также комиссии, отвечающие за развитие тех или иных регионов страны в целом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целью выявления скрытых ресурсов, которых можно было направить и на оборону страны и на развитие национального хозяйства.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Массовое оружие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годы Великой Отечественной войны приоритетными в деятельности советских ученых считались направления, связанные с созданием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овых образцов вооружения: бронетехники, самолетов, артиллерийских систем, стрелкового вооружения, инженерно-саперного оборудования и проч. С точки зрения научно-технической мысли только самое массовое оружие нельзя было назвать по-настоящему технологичным.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Но, несмотря на внешнюю простоту, именно оно стало оружием победы. Благодаря разработкам советских конструкторов, Красная армия получила самое новейшее и в то же время самое простое в обращении вооружение, превзошедшее все имеющиеся на тот момент образцы.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Так, успехи в производстве стрелкового вооружения были достигнуты при ведущей роли конструкторов В.А. Дегтярева, С.Г. Симонова, Ф.В. Токарева, Г.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С. Шпагина, Б.Г. Шпитального. Пистолет-пулемет Шпагина (ППШ) стал самым массовым автоматическим оружием Красной Армии во время Великой Отечественной войны (всего за годы войны было выпущено более 6 миллионов единиц) и одним из символов Победы над нацизмом.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Самый массовый самолёт СССР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времён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Великой Отечественной войн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 –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штурмовик Ил-2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(«Летающий танк»). Его разработчики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ывели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основные закономерности изменения аэродинамических характеристик крыла самолёта на больших скоростях. Полученные им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результаты имели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значение при расчёте боеспособности самолётов.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Выпуск самолетов и авиадвигателей неуклонно наращивался уже со второй половины 1942 г. Во время Великой Отечестве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нной Войны в серийное производство поступили 25 моделей самолетов (включая модификации), а также более двадцати типов авиадвигателей. В создание и совершенствование новых боевых машин внесли вклад авиаконструкторы С. В. Ильюшин, С. А. Лавочкин, А. И. Микоя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н, В. М. Петляков, Н. Н. Поликарпов, П. О. Сухой, А. Н. Туполев, А. С. Яковлев, создатели авиамоторов В. Я. Климов, А. А. Микулин, С. К. Туманский, А. Д. Швецов. Совершенствование самолетов опиралось на интенсивную творческую деятельность советских ученых.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Самый массовый танк Великой Отечественной войны – советский танк «Т-34», отличавшийся не только простой конструкции, но и маневренностью, мощностью брони и вооружения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На протяжении четырех лет войны он постоянно совершенствовался. К концу войны (после установк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85-мм пушки) танк определенно исчерпал весь ресурс модернизации, но даже тогда производство более современных машин было невыгодно, ибо Т-34 брал численным преимуществом. «Тридцатьчетверка» предназначалась прежде всего для поддержки атакующей пехоты. Ее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пушка Ф-34 с длиной ствола 41,5 калибр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имела ограниченные возможности против тяжелых танков, зато замечательно справлялась с легкобронированными целями, расчетами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противотанковых пушек и пехотой. Благодаря крутой траектории полета снаряда осколочный выстрел из Ф-34 был гораздо эффективнее, чем у пушки, установленной на немецком «Тигре», орудие на последнем предназначалось в первую очередь для поражения бронетехники.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Реактивные установки и артиллерия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 время войны, совместно с другими учёными, проблемой увеличения кучности стрельбы реактивной системы залпового огня «Катюша» занимался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специалист в области механики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Сергей Алексеевич Христианович. Присущая советским учёным смекалка позволил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решить проблему максимально быстро и эффективно: в снаряде определённым образом высверливали отверстия, через которые вырывали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сь пороховые газы, а затем закручивали снаряд, значительно повышая кучность. Уникальность «Катюши» заключалась в её мобильности, вражеские аналоги требовали буксировки за счет других средств передвижения и не обладали той-же мощностью и скоростью стрельбы.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Также СССР в годы войны разработал и запустил в массовое производство первые в мире ре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активные установки, соединявшие в себе подвижность, мощь и шквальность (за несколько секунд они выпускали 16 снарядов).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Особое внимание уделялось совершенствованию качества артиллерийских систем и миномётов. В этой области большая заслуга принадлежит учёным и конструкторам В. Г. Грабину, И. И. Иванову,</w:t>
        <w:br/>
        <w:t xml:space="preserve"> М. Я. Крупчатникову, Ф. Ф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Петрову, Б. И. Шавырину и др. Были созданы простые в обращении, но обладавшие большой мощностью и скорострельностью орудия, калибр которых в ходе войны увеличился в 1,6–2,2 раза, начальные скорости – более чем в 1,5 раза, бронепробиваемая сила – в 5 раз.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главное в производстве новых видов вооружения,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особенно в военное время?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Простота конструкции и обслуживания, а также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возможность массового выпуска по принципу конвейера, когда 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ждый из рабочих отвечает только за свою, узкую часть производства.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этим принципам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советским учёным удалось во много раз сократить сроки разработки и внедрения новых образцов вооружения.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сосредоточиться на усовершенствовании действующей 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Недра – человеку.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Разработка и массовый выпуск вооружения «тянули» за собой задачу как обеспечения производителей всем необходимым, так и совершенствование технологий в таких отраслях как металлургия, машиностроение, станкостроение, химическая и радиотехническая промышленн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ость, и проч. Для этого требовалось повысить добычу полезных ископаемых, что ставило перед отечественной геологией задачу по разработке старых и поиску новых месторождений угля, различных руд, нефти (предложена и новая концепция поиска последней), и проч.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ченым-геологам и металлургам А. Е. Ферсману, К. И. Сатпаеву, Н. И. Звонареву, А. А. Блохину, Ю.В. Грдину, и другим были разведаны новые месторождения железной руды в Кузбассе, новые источники нефти в Башкирии, месторождение молибденовых руд в Казахстане 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мобилизированы ресурсы Поволжья и Прикамья (начали активно добываться нефть, природный газ, поваренная соль, сера и повышается мощность ГЭС).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результате развития геологии (и смежных наук) была обеспечена потребность промышленности в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ырье, а также осуществлены новые методы плавки металла, который, благодаря минеральным добавкам (например, дунитам), отличался прочностью – важным показателем оборонной промышленности. Особую роль в деле вклада науки в оборону страны сыграли учёные-физики.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Физика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борьба с морскими минами, которые имели бесконтактный тип действия и реагировали на изменение магнитного поля, происходившее при приближении любого корабля с металлическим корпусом; Ака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демики А.П. Александров и И.В. Курчатов разработали технологию размагничивания корпусов подводных лодок и надводных кораблей. В результате до конца войны ни один из размагниченных по новой технологии кораблей не подорвался на электромагнитной мине. Также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 руководством академика Н.Н. Андреева был разработан акустический трал для борьбы с минами. </w:t>
      </w:r>
      <w:r>
        <w:rPr>
          <w:rFonts w:ascii="Times New Roman" w:hAnsi="Times New Roman" w:eastAsia="Times New Roman" w:cs="Times New Roman"/>
          <w:color w:val="323030"/>
          <w:sz w:val="28"/>
          <w:szCs w:val="28"/>
          <w:rtl w:val="0"/>
        </w:rPr>
        <w:t xml:space="preserve">Трал имитировал звуковое поле движущегося корабля, производя подрывы акустических мин. Для этого его цепляли к легким катерам, на которые мины не реагировали и проводили трал  над путями движения боевых кораблей.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создание электромагнитных мин не для кораблей, а для танков.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начале Великой Отечественной войны с просьбой разработать такое устройство к учёным обратились представители инженерных войск.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Они хотели выяснить, нельзя ли разработать подобную мину не для кораблей, а для танков.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Физики пр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овели измерения магнитного поля под танками на разных глубинах.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Оказалось, что оно довольно заметное, и можно было попробовать применить магнитный механизм для подрыва танков. Однако ставилось важное требование: сама мина должна содержать как можно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меньше металла (её должно было быть сложно обнаружить миноискателем).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В условиях военного времени от этой идеи пришлось отказаться,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из-за сложностей изготовления и перераспределения заводских мощностей на более простые и важные производства.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и автоматизированная сварка бронелистов под слоем флюса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(материал, используемого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защиты зоны сварки от атмосферного воздуха, формирования поверхности сварного шва и получения заданных свойств наплавленного материала)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(метод советского ученого Е.О.Патона), давшая возможность поставить производство танков «на поток»: выпуск танков и самоходных артиллерийских установок постоянно наращивался, с 696 штук в месяц (2-я половина 1941 г.) до 2570 штук (первая половина 1945 г.).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Нелёгкую задачу поставили учёным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военнослужащие и инженерно-технический персонал, обслуживающий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Дорогу жизни. Они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столкнулись с тем, что двигающиеся по трассе машины проваливались сквозь толстый лёд, который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читался пригодным для передвижения.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исследования опасного феномена была привлечена группа учёных, в которую входили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гляциолог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 (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yellow"/>
          <w:rtl w:val="0"/>
        </w:rPr>
        <w:t xml:space="preserve">специалист, занимающийся изучением всех видов льда, снега, водоемов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Борис Петр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ович Вейнберг и физик Павел Павлович Кобеко, работавший в Ленинградском физико-техническом институте. Вейнберг и Кобеко предположили, что причиной аварий может быть эффект резонанса, который возникает при определённой частоте и скорости проезжающих машин.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 вибраций издаваемых автомобилями при движении  и колебаниями льда, при совпадении частоты этих колебаний лед начинал быстро разрушаться.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дальнейшем эта гипотеза была подтверждена с помощью приборов, способных измерять колебания льда. Они были сделаны учёными в полевых условиях — при исполь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зовании таких подручных материалов, как части парковых ограждений и элементы старых телефонных аппаратов. Просто и экономично. Экономичной и простой оказалась и технология искусственного намораживания, увеличившая толщину льда и снижающая эффект резонанса.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 Химия.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Представители химических наук внесли вклад в оборонную промышленность не меньше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чем физики.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Они разработали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процесс получения платины, палладия, родия и иридия,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организовали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производство новых жаростойких сплавов,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провели исследования с целью повысить качество смазочных масел и 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орючего. Благодаря химикам оборонная промышленность обеспечивалась сырьём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производства взрывчатых веществ: целлюлозой, азотной и серной кислотами, аммиаком, толуолом, а также синтетическим каучуком. Созданные в годы Великой Отечественной войны взрывчатые вещества, обладая значительной мощностью, выпускались на основе дешёвы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 нед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ефицитных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Основатель советской полимерной школы Валентин Анатольевич Каргин разраб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атывал огнестойкие ткани для борьбы с воспламенением авиационной техники, специальные материалы для изготовления одежды, защищающей от действия отравляющих веществ, специальная электрохимическая бумага для регистрации показаний гидроакустических приборов.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Группа ученых-химиков под руководством специалиста в области химии И.И. Китайгородского разработала специальное бронестекло для кабин самолетов, прочность которого в 25 раз превышала прочность обычного стекла.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военные годы резко возросла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еобходимость в производстве жидкого кислорода в промышленных масштабах — это было нужно, в частности, для производства взрывчатки. Решение этой задачи было связано прежде всего с именем выдающегося физика, будущего Нобелевского лауреата Петра Леонидовича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апицы, который и возглавил работы по производству жидкого кислорода. В 1942 г. разработанная им турбокислородная установка была изготовлена, а в начале 1943 г. уже эксплуатировалась на производстве. Производство жидкого кислорода  было поставлено на поток.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1943 году на черноморскую базу подводных лодок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грузинский город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Поти была откомандирована сотрудница Института органической химии Маргарита Семёновна Бурмистрова.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Там она проверяла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действии новую разработку – карбинольный клей. Дело в том, что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эбонитовые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баки судовых аккумуляторов постоянно ломались. Эбонит - это сп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ециальным образом обработанный до твердого состояния натуральный каучук, аналог пластмассы. Им пользовались до ее изобретения пластмассы, будучи твердым и влагостойким, он те не менее становился весьма хрупким. Без аккумуляторов подводные лодки были «беспо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ощны». Карбинольный клей залатал все трещины в счита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ые минуты. Баки заполняли водой и электролитом, бросали с высоты, били о стену – клей держал. Более того, он клеил абсолютно любые материалы. И изготовить его было несложно даже в «кустарных» условиях.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химикам оборонная промышленность обеспечивалась сырьем для производства взрывчатых веществ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целлюлозой, азотной и серной кислотами, аммиаком, толуолом, а также синтетическим каучуком. Созданные в годы Великой Отечественной войны пороха и взрывчатые вещества, обладая значительной мощностью, выпускались на основе дешевых, недефицитных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 Атомный проект.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Отдельная тема 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атомный проект ССС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Р, разработки которого начались в 1942 г. и который в конце 1940-х гг. вывел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страну в ранг государства, умеющего управлять атомной энергией.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 апреля 1943 г. по распоряжению Комитета обороны была создана секретная лаборатория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(научный руководитель – И. В. Курчатов), перед сотрудниками которой была поставлена цель – разработать для страны атомное оружие. Уже через три года был создан атомный реактор на уран-графитовых блоках, пуск которого произошёл 25 декабря 1946 г. Это стало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самым важным шагом к соз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данию промышленного реактора, с помощью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которого удалось наработать необходимое количество оружейного плутония для первой отечественной атомной бомбы. Её испытание 29 августа 1949 г. ликвидировало монополию США в этой области, паритет ядерных арсеналов США и СССР позволил избежать ядерной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 Математика.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Казалось бы, нет ничего общего между оборонной промышленнос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тью  и математиками-теоретиками нет. Но это далеко не так. Разработка теории рассеивания артиллерийских снарядов; теоретическое обоснование основных закономерностей изменения аэродинамических характеристик крыла самолета в режиме полета на больших скоростя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х; разработка таблиц для определения местонахождения судна по радиопеленгам; таблицы для стрельбы из орудий, минометов, ракетных установок залпового огня («Катюши»), обеспечение безопасности самолета от сверхзвуковых вибраций - все это заслуга математиков.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Андрей Николаевич Колмогоров – это один из крупнейших математиков ХХ века, один из основоположников теории вероятности, специалист в теории алгоритмов, топологии, теории множеств и еще огромного количеств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сложных математических направлений. В годы Великой Отечественной войны Колмогоров разработал теорию рассеивания артиллерийских снарядов. Полученные им результаты помогли повысить меткость стрельбы и тем самым увеличить эффективность действия артиллерии.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Ещё один советский математик Сергей Натанович Бернштейн разработал таблицы для определения местонахождения боевых кораблей по радиопеленгам. Таблицы позволили ускорить штурманские расчёты примерно в 10 раз. На основании расчётов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Берн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штейна были подготовлены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турманские таблицы, которые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широко применялись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альней ав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иации, значительно повысили точность самолётовождения. Ни в одной стране мира не были известны таблицы, равные выкладкам Бернштейна по своей простоте и оригинальности. В 1942 г. С. Н. Бернштейн получил Сталинскую премию за научные труды в области математик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Математика в период Великой Отечественной войны, таким образом, это не просто сухие цифры, это судьбы людей: от точности расчетов часто зависели человеческие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Медицина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Научные изыскания в медицине, произошедшие в годы Великой Отечественной войны, невозможно недооценить, поскольку от них зависели жизни миллионов людей. В частности, это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создание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отечественного антибиотика – пенициллина-крустозина, новых методов переливания плазмы и её получения в сухом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иде, «радиощупа» для извлечения осколков, разработка новых заживляющих мазей, методов диагностики и борьбы с различными осложнениями после ранения: шоком, кровотечениями, нервными явлениями. Эти и многие другие достижения медицинской науки привели к тому,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смертность в госпиталях лишь немного превышала 1%. В результате лечения в строй возвращалось более 70% раненых.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1942 г. микробиолог Зинаида Виссарионовна Ермольева начала работу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созданию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отечественного антибиотика, пенициллина-крустозина. Команда исследователей Всесоюзного института эпидемиологии и микробиологии под её руководством всего за шесть месяцев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одготовила пенициллин для клинических испытаний. Итоги оказались обнадёживающими, и долгожданную новинку решено было пустить в производство на фабрике эндокринных препаратов в Москве. Советский пенициллин оказался эффективнее английского, а с американским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был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«на равных».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Это спасло сотни тысяч жизней советских солдат во время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Великой Отечественной войны. Позже под руководством З. В. Ермольевой были получены другие отечественные антибиотики.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Зинаида Виссарионова Ермольева - прототип главной героини романа советского писателя Вениамина Каверина «Открытая книга» Татьяны Власенковой.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Представители мед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ицинской науки тесно сотрудничали с биологами, которые во время Великой Отечественной войны разработали, например, препарат «тромбин». Он обладал свойством за 3-6 секунд свертывать идущую из раны кровь в сгусток – тромб, и который закрывал рассеченные кров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еносные сосуды и, тем самым, останавливал кровотечение. Биологами был разработан и способ получения витамина С из незрелого грецкого ореха, витамин этот был важен для укрепления организма, как раненых бойцов, так и страдающих от недоедания гражданских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 Викторина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предлагаю вам проверить себя и показать, насколько вы запомнили сегодняшний материал. Вас ждут несколько вопросов с вариантами ответов. Предлагаю вам использовать свои телефоны чтобы дать правильные ответы.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стрелковое оружие стало самым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массовым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 время Великой Отечественной войны?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Маузер 98k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СВТ-40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c) ППШ-41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ТТ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был конструктором штурмовика Ил-2 – «Летающий танк»?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Михаил Лавочкин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Игорь Сикорский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c) Сергей Ильюшин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Павел Сухой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Особенность реактивной системы залпового огня «Катюша»?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Газ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отурбинный двигатель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b) Композитные ракеты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c) Мобильная платформа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верный ответ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Дымовая маскировка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разработал технологию размагничивания кораблей?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Сергей Королев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b) Анатолий Александров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– верный ответ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c) Александр Киндинов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d) Артем Сальников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Для обнаружения осколков в ране было разработано устройство: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a)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Радиощуп – верный ответ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b) Электронный скальпель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c) Кремальера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d)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rtl w:val="0"/>
        </w:rPr>
        <w:t xml:space="preserve">Корнцанги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/>
      <w:bookmarkStart w:id="1" w:name="_heading=h.hua2qe7medvk"/>
      <w:r/>
      <w:bookmarkEnd w:id="1"/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23. Непростые условия работы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стоит сбрасывать со счетов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деятельность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овета по научно-технической пропаганде Академии наук СССР, созданного 25 августа 1942 г. в Москве для руководства региональными организациями научно-технической пропаганды. С лекциями и докладами на предпр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иятиях, призывных пунктах и в воинских частях выступали академики, члены-корреспонденты Академии наук, доктора и кандидаты наук, профессора и доценты. Они освещали мероприятия правительства по мобилизации сил на разгром врага, раскрывали идеологию нацизма,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показывали неизбежность его краха, способствовали воспитанию патриотизма советского народа, повышению уровня технического образования рабочих и инженерно-технических работников, популяризировали передовые методы труда в промышленности и сельском хозяйстве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достижения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науке, подготовил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почву для создания Всесоюзного общества по распространению политических и научных знаний..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ещё один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важнейший момент. Большинство научно-исследовательских учреждений были эвакуированы из западных и центральных районов страны на восток, где научным сотрудникам приходилось разворачивать свою деятельность, испытывая всё те же сложности, которые приходились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долю простых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Учёных эвакуировали в основном в четыре крупнейших города Советского Союза: Свердловск, Новосибирск, Ташкент и Алма-Ату. Благодаря эвакуированным сюда институтам Академии наук, в этих городах к концу войны сложились все услови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создания местных научных центров, которые существуют и по се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день. Одни как филиалы Российской академии наук, другие (Казахстан и Узбекистан) как самостоятельные национальные структуры. Таким образом, эвакуация дала своеобразный толчок для развития науки в союзных республиках и отдалённых от Москвы областных центрах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Президент Академии наук СССР Сергей Иванович Вавилов писал: «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Почти каждая деталь военного оборудования, обмундирования, военные материалы, медикаменты — все это несло на себе отпечаток предварительной научно-исследовательской мысли и разработки».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Невозможно даже перечислить те изобретения (от самых простых до самых сложнейших), которые, благодаря отечественной науке усилили и Красную Армию и тыл, трудившийся для </w:t>
      </w:r>
      <w:r>
        <w:rPr>
          <w:rFonts w:ascii="Times New Roman" w:hAnsi="Times New Roman" w:eastAsia="Times New Roman" w:cs="Times New Roman"/>
          <w:i w:val="0"/>
          <w:sz w:val="28"/>
          <w:szCs w:val="28"/>
          <w:rtl w:val="0"/>
        </w:rPr>
        <w:t xml:space="preserve">фронта. </w:t>
      </w:r>
      <w:r>
        <w:rPr>
          <w:rFonts w:ascii="Roboto" w:hAnsi="Roboto" w:eastAsia="Roboto" w:cs="Roboto"/>
          <w:color w:val="444746"/>
          <w:sz w:val="21"/>
          <w:szCs w:val="21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Страна смогла мобилизовать свои ресурсы, не смотря на сложные условия и добиться прогресса в разных отраслях.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Особое внимание уделялось образованию и подготовке кадров. В эвакуированных институтах продолжали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учиться студенты, а преподаватели, несмотря на трудности, вели научную работу. Это позволило сохранить преемственность в науке и подготовить новое поколение ученых, которые после войны внесли огромный вклад в восстановление страны и ее дальнейшее развитие.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Сегодня, вспоминая подвиг советских ученых и инженеров, мы понимаем, что их вклад в победу над фашизмом был не менее важен, чем подвиг солдат на фронте. Они не только создавал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 оружие для борьбы с врагом, но и сохраняли интеллектуальный потенциал страны, который стал основой для послевоенного восстановления и дальнейшего развития. Их труд – это пример того, как наука и образование могут стать мощным оружием в борьбе за будущее.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12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Именно благодаря этим усилиям СССР не только выстоял в самой страш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ной войне в истории человечества, но и смог стать одной из ведущих научных держав мира. Наследие тех лет продолжает вдохновлять новые поколения ученых, инженеров и изобретателей, которые стремятся быть достойными преемниками своих великих предшественников.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142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Noto Sans Symbols"/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96820" cy="1005840"/>
              <wp:effectExtent l="0" t="0" r="0" b="0"/>
              <wp:docPr id="1" name="image1.png" descr="C:\Users\f.levitskiy\AppData\Local\Microsoft\Windows\INetCache\Content.MSO\CD023D36.tmp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C:\Users\f.levitskiy\AppData\Local\Microsoft\Windows\INetCache\Content.MSO\CD023D36.tmp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496819" cy="1005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6.60pt;height:79.2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3"/>
    <w:link w:val="845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853"/>
    <w:link w:val="846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853"/>
    <w:link w:val="847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853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853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853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53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53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53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character" w:styleId="690">
    <w:name w:val="Title Char"/>
    <w:basedOn w:val="853"/>
    <w:link w:val="851"/>
    <w:uiPriority w:val="10"/>
    <w:rPr>
      <w:sz w:val="48"/>
      <w:szCs w:val="48"/>
    </w:rPr>
  </w:style>
  <w:style w:type="character" w:styleId="691">
    <w:name w:val="Subtitle Char"/>
    <w:basedOn w:val="853"/>
    <w:link w:val="867"/>
    <w:uiPriority w:val="11"/>
    <w:rPr>
      <w:sz w:val="24"/>
      <w:szCs w:val="24"/>
    </w:rPr>
  </w:style>
  <w:style w:type="paragraph" w:styleId="692">
    <w:name w:val="Quote"/>
    <w:basedOn w:val="852"/>
    <w:next w:val="85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52"/>
    <w:next w:val="85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53"/>
    <w:link w:val="863"/>
    <w:uiPriority w:val="99"/>
  </w:style>
  <w:style w:type="character" w:styleId="697">
    <w:name w:val="Footer Char"/>
    <w:basedOn w:val="853"/>
    <w:link w:val="865"/>
    <w:uiPriority w:val="99"/>
  </w:style>
  <w:style w:type="paragraph" w:styleId="69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65"/>
    <w:uiPriority w:val="99"/>
  </w:style>
  <w:style w:type="table" w:styleId="700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52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53"/>
    <w:uiPriority w:val="99"/>
    <w:unhideWhenUsed/>
    <w:rPr>
      <w:vertAlign w:val="superscript"/>
    </w:rPr>
  </w:style>
  <w:style w:type="paragraph" w:styleId="829">
    <w:name w:val="endnote text"/>
    <w:basedOn w:val="852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53"/>
    <w:uiPriority w:val="99"/>
    <w:semiHidden/>
    <w:unhideWhenUsed/>
    <w:rPr>
      <w:vertAlign w:val="superscript"/>
    </w:rPr>
  </w:style>
  <w:style w:type="paragraph" w:styleId="832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43">
    <w:name w:val="Normal"/>
  </w:style>
  <w:style w:type="table" w:styleId="844">
    <w:name w:val="Table Normal"/>
    <w:tblPr/>
  </w:style>
  <w:style w:type="paragraph" w:styleId="845">
    <w:name w:val="Heading 1"/>
    <w:basedOn w:val="843"/>
    <w:next w:val="84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846">
    <w:name w:val="Heading 2"/>
    <w:basedOn w:val="843"/>
    <w:next w:val="843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847">
    <w:name w:val="Heading 3"/>
    <w:basedOn w:val="843"/>
    <w:next w:val="84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848">
    <w:name w:val="Heading 4"/>
    <w:basedOn w:val="843"/>
    <w:next w:val="84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849">
    <w:name w:val="Heading 5"/>
    <w:basedOn w:val="843"/>
    <w:next w:val="84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850">
    <w:name w:val="Heading 6"/>
    <w:basedOn w:val="843"/>
    <w:next w:val="84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851">
    <w:name w:val="Title"/>
    <w:basedOn w:val="843"/>
    <w:next w:val="84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852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>
    <w:name w:val="Emphasis"/>
    <w:basedOn w:val="853"/>
    <w:uiPriority w:val="20"/>
    <w:qFormat/>
    <w:rPr>
      <w:i/>
      <w:iCs/>
    </w:rPr>
  </w:style>
  <w:style w:type="character" w:styleId="858" w:customStyle="1">
    <w:name w:val="ql-cursor"/>
    <w:basedOn w:val="853"/>
  </w:style>
  <w:style w:type="paragraph" w:styleId="859" w:customStyle="1">
    <w:name w:val="content--common-block__block-3u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0">
    <w:name w:val="Normal (Web)"/>
    <w:basedOn w:val="8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61" w:customStyle="1">
    <w:name w:val="w"/>
    <w:basedOn w:val="853"/>
  </w:style>
  <w:style w:type="character" w:styleId="862">
    <w:name w:val="Hyperlink"/>
    <w:basedOn w:val="853"/>
    <w:uiPriority w:val="99"/>
    <w:semiHidden/>
    <w:unhideWhenUsed/>
    <w:rPr>
      <w:color w:val="0000ff"/>
      <w:u w:val="single"/>
    </w:rPr>
  </w:style>
  <w:style w:type="paragraph" w:styleId="863">
    <w:name w:val="Header"/>
    <w:basedOn w:val="852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3"/>
    <w:link w:val="863"/>
    <w:uiPriority w:val="99"/>
  </w:style>
  <w:style w:type="paragraph" w:styleId="865">
    <w:name w:val="Footer"/>
    <w:basedOn w:val="852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3"/>
    <w:link w:val="865"/>
    <w:uiPriority w:val="99"/>
  </w:style>
  <w:style w:type="paragraph" w:styleId="867">
    <w:name w:val="Subtitle"/>
    <w:basedOn w:val="843"/>
    <w:next w:val="843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2.png"/><Relationship Id="rId11" Type="http://schemas.openxmlformats.org/officeDocument/2006/relationships/hyperlink" Target="https://ru.wikipedia.org/wiki/%D0%93%D0%9A%D0%9E_%D0%A1%D0%A1%D0%A1%D0%A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NTZdEq6j8b/gh01+BauGgN0Pw==">CgMxLjAyCGguZ2pkZ3hzMg5oLmh1YTJxZTdtZWR2azgAciExTnVlQXBTemFpS1YtYk5STHRJV21VVFlOZ0FKMk9rRHo=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Масютина</cp:lastModifiedBy>
  <cp:revision>2</cp:revision>
  <dcterms:created xsi:type="dcterms:W3CDTF">2025-03-10T16:04:00Z</dcterms:created>
  <dcterms:modified xsi:type="dcterms:W3CDTF">2025-04-21T15:36:07Z</dcterms:modified>
</cp:coreProperties>
</file>