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83AB" w14:textId="77777777" w:rsidR="00123BF0" w:rsidRDefault="008422E6">
      <w:pPr>
        <w:spacing w:line="36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6B5CB4" wp14:editId="62D0593A">
            <wp:extent cx="1256030" cy="127000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271" cy="13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FB27" w14:textId="77777777" w:rsidR="00123BF0" w:rsidRDefault="00123BF0">
      <w:pPr>
        <w:spacing w:line="360" w:lineRule="auto"/>
        <w:ind w:firstLine="0"/>
        <w:jc w:val="center"/>
        <w:rPr>
          <w:b/>
          <w:bCs/>
        </w:rPr>
      </w:pPr>
    </w:p>
    <w:p w14:paraId="103504AD" w14:textId="77777777" w:rsidR="00123BF0" w:rsidRDefault="00123BF0">
      <w:pPr>
        <w:spacing w:line="360" w:lineRule="auto"/>
        <w:ind w:firstLine="0"/>
        <w:jc w:val="center"/>
        <w:rPr>
          <w:b/>
          <w:bCs/>
        </w:rPr>
      </w:pPr>
    </w:p>
    <w:p w14:paraId="5D011DEA" w14:textId="77777777" w:rsidR="00123BF0" w:rsidRDefault="00123BF0">
      <w:pPr>
        <w:spacing w:line="360" w:lineRule="auto"/>
        <w:ind w:firstLine="0"/>
        <w:jc w:val="center"/>
        <w:rPr>
          <w:b/>
          <w:bCs/>
        </w:rPr>
      </w:pPr>
    </w:p>
    <w:p w14:paraId="0EE57546" w14:textId="77777777" w:rsidR="00123BF0" w:rsidRDefault="00123BF0">
      <w:pPr>
        <w:spacing w:line="360" w:lineRule="auto"/>
        <w:ind w:firstLine="0"/>
        <w:jc w:val="center"/>
        <w:rPr>
          <w:b/>
          <w:bCs/>
        </w:rPr>
      </w:pPr>
    </w:p>
    <w:p w14:paraId="13D0BB0D" w14:textId="77777777" w:rsidR="00123BF0" w:rsidRDefault="00123BF0">
      <w:pPr>
        <w:spacing w:line="360" w:lineRule="auto"/>
        <w:ind w:firstLine="0"/>
        <w:rPr>
          <w:b/>
          <w:bCs/>
        </w:rPr>
      </w:pPr>
    </w:p>
    <w:p w14:paraId="49A4932D" w14:textId="77777777" w:rsidR="00123BF0" w:rsidRDefault="008422E6">
      <w:pPr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Геноцид советского народа со стороны нацистов и их пособников</w:t>
      </w:r>
    </w:p>
    <w:p w14:paraId="49AEFAB1" w14:textId="77777777" w:rsidR="00123BF0" w:rsidRDefault="00123BF0">
      <w:pPr>
        <w:spacing w:line="360" w:lineRule="auto"/>
        <w:ind w:firstLine="0"/>
        <w:jc w:val="right"/>
      </w:pPr>
    </w:p>
    <w:p w14:paraId="58D42DDE" w14:textId="77777777" w:rsidR="00123BF0" w:rsidRDefault="00123BF0">
      <w:pPr>
        <w:spacing w:line="360" w:lineRule="auto"/>
        <w:ind w:firstLine="0"/>
        <w:jc w:val="right"/>
      </w:pPr>
    </w:p>
    <w:p w14:paraId="5EF0881F" w14:textId="77777777" w:rsidR="00123BF0" w:rsidRDefault="00123BF0">
      <w:pPr>
        <w:spacing w:line="360" w:lineRule="auto"/>
        <w:ind w:firstLine="0"/>
        <w:jc w:val="right"/>
      </w:pPr>
    </w:p>
    <w:p w14:paraId="4CA2EB5F" w14:textId="77777777" w:rsidR="00123BF0" w:rsidRDefault="008422E6">
      <w:pPr>
        <w:spacing w:line="360" w:lineRule="auto"/>
        <w:ind w:firstLine="0"/>
        <w:jc w:val="right"/>
        <w:rPr>
          <w:b/>
          <w:bCs/>
        </w:rPr>
      </w:pPr>
      <w:r>
        <w:rPr>
          <w:b/>
          <w:bCs/>
        </w:rPr>
        <w:t>Автор:</w:t>
      </w:r>
    </w:p>
    <w:p w14:paraId="212C7ABF" w14:textId="77777777" w:rsidR="00123BF0" w:rsidRDefault="008422E6">
      <w:pPr>
        <w:spacing w:line="360" w:lineRule="auto"/>
        <w:ind w:firstLine="0"/>
        <w:jc w:val="right"/>
      </w:pPr>
      <w:r>
        <w:rPr>
          <w:b/>
          <w:bCs/>
        </w:rPr>
        <w:t>Суржик Дмитрий Викторович</w:t>
      </w:r>
      <w:r>
        <w:t xml:space="preserve">, </w:t>
      </w:r>
    </w:p>
    <w:p w14:paraId="426DC60E" w14:textId="77777777" w:rsidR="00123BF0" w:rsidRDefault="008422E6">
      <w:pPr>
        <w:spacing w:line="360" w:lineRule="auto"/>
        <w:ind w:firstLine="0"/>
        <w:jc w:val="right"/>
      </w:pPr>
      <w:r>
        <w:t>кандидат исторических наук,</w:t>
      </w:r>
    </w:p>
    <w:p w14:paraId="0853EAAB" w14:textId="77777777" w:rsidR="00123BF0" w:rsidRDefault="008422E6">
      <w:pPr>
        <w:spacing w:line="360" w:lineRule="auto"/>
        <w:ind w:firstLine="0"/>
        <w:jc w:val="right"/>
      </w:pPr>
      <w:r>
        <w:t>главный специалист экспертно-</w:t>
      </w:r>
    </w:p>
    <w:p w14:paraId="165E64F6" w14:textId="77777777" w:rsidR="00123BF0" w:rsidRDefault="008422E6">
      <w:pPr>
        <w:spacing w:line="360" w:lineRule="auto"/>
        <w:ind w:firstLine="0"/>
        <w:jc w:val="right"/>
      </w:pPr>
      <w:r>
        <w:t>аналитического департамента</w:t>
      </w:r>
    </w:p>
    <w:p w14:paraId="3E53E5BE" w14:textId="77777777" w:rsidR="00123BF0" w:rsidRDefault="008422E6">
      <w:pPr>
        <w:spacing w:line="360" w:lineRule="auto"/>
        <w:ind w:firstLine="0"/>
        <w:jc w:val="right"/>
      </w:pPr>
      <w:r>
        <w:t xml:space="preserve">Национального центра исторической памяти </w:t>
      </w:r>
    </w:p>
    <w:p w14:paraId="33A18297" w14:textId="77777777" w:rsidR="00123BF0" w:rsidRDefault="008422E6">
      <w:pPr>
        <w:spacing w:line="360" w:lineRule="auto"/>
        <w:ind w:firstLine="0"/>
        <w:jc w:val="right"/>
      </w:pPr>
      <w:r>
        <w:t>при Президенте Российской Федерации</w:t>
      </w:r>
      <w:bookmarkStart w:id="0" w:name="_Toc226012846"/>
      <w:bookmarkStart w:id="1" w:name="_Toc225181742"/>
    </w:p>
    <w:p w14:paraId="561BA928" w14:textId="77777777" w:rsidR="00123BF0" w:rsidRDefault="00123BF0">
      <w:pPr>
        <w:spacing w:line="360" w:lineRule="auto"/>
        <w:ind w:firstLine="0"/>
        <w:jc w:val="center"/>
      </w:pPr>
    </w:p>
    <w:p w14:paraId="7E353640" w14:textId="77777777" w:rsidR="00123BF0" w:rsidRDefault="00123BF0">
      <w:pPr>
        <w:spacing w:line="360" w:lineRule="auto"/>
        <w:ind w:firstLine="0"/>
        <w:jc w:val="center"/>
      </w:pPr>
    </w:p>
    <w:p w14:paraId="5A6F2378" w14:textId="77777777" w:rsidR="00123BF0" w:rsidRDefault="00123BF0">
      <w:pPr>
        <w:spacing w:line="360" w:lineRule="auto"/>
        <w:ind w:firstLine="0"/>
        <w:jc w:val="center"/>
      </w:pPr>
    </w:p>
    <w:p w14:paraId="74B093EC" w14:textId="77777777" w:rsidR="00123BF0" w:rsidRDefault="00123BF0">
      <w:pPr>
        <w:spacing w:line="360" w:lineRule="auto"/>
        <w:ind w:firstLine="0"/>
        <w:jc w:val="center"/>
      </w:pPr>
    </w:p>
    <w:p w14:paraId="3527C311" w14:textId="77777777" w:rsidR="00123BF0" w:rsidRDefault="00123BF0">
      <w:pPr>
        <w:spacing w:line="360" w:lineRule="auto"/>
        <w:ind w:firstLine="0"/>
        <w:jc w:val="center"/>
      </w:pPr>
    </w:p>
    <w:p w14:paraId="5173203E" w14:textId="77777777" w:rsidR="00123BF0" w:rsidRDefault="00123BF0">
      <w:pPr>
        <w:spacing w:line="360" w:lineRule="auto"/>
        <w:ind w:firstLine="0"/>
        <w:jc w:val="center"/>
      </w:pPr>
    </w:p>
    <w:p w14:paraId="48A8C5C9" w14:textId="77777777" w:rsidR="00123BF0" w:rsidRDefault="00123BF0">
      <w:pPr>
        <w:spacing w:line="360" w:lineRule="auto"/>
        <w:ind w:firstLine="0"/>
        <w:jc w:val="center"/>
      </w:pPr>
    </w:p>
    <w:p w14:paraId="0DB89301" w14:textId="77777777" w:rsidR="00123BF0" w:rsidRDefault="00123BF0">
      <w:pPr>
        <w:spacing w:line="360" w:lineRule="auto"/>
        <w:ind w:firstLine="0"/>
        <w:jc w:val="center"/>
      </w:pPr>
    </w:p>
    <w:p w14:paraId="7CEC3ED0" w14:textId="77777777" w:rsidR="00123BF0" w:rsidRDefault="008422E6">
      <w:pPr>
        <w:spacing w:line="360" w:lineRule="auto"/>
        <w:ind w:firstLine="0"/>
        <w:jc w:val="center"/>
      </w:pPr>
      <w:r>
        <w:t>Москва, 2026 г.</w:t>
      </w:r>
      <w:r>
        <w:br w:type="page"/>
      </w:r>
    </w:p>
    <w:p w14:paraId="0E32AD46" w14:textId="77777777" w:rsidR="00123BF0" w:rsidRDefault="008422E6">
      <w:pPr>
        <w:spacing w:line="360" w:lineRule="auto"/>
        <w:ind w:firstLine="709"/>
        <w:rPr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lastRenderedPageBreak/>
        <w:t xml:space="preserve">Цель: </w:t>
      </w:r>
      <w:r>
        <w:rPr>
          <w:rFonts w:eastAsia="SimSun"/>
        </w:rPr>
        <w:t xml:space="preserve">сформировать у слушателей осознанное понимание масштабов, механизмов и последствий геноцида советского народа в годы Великой </w:t>
      </w:r>
      <w:r>
        <w:rPr>
          <w:rFonts w:eastAsia="SimSun"/>
        </w:rPr>
        <w:t>Отечественной войны, подчеркнуть историческую и правовую оценку преступлений нацизма и необходимость сохранения памяти о жертвах.</w:t>
      </w:r>
    </w:p>
    <w:p w14:paraId="492E05B6" w14:textId="77777777" w:rsidR="00123BF0" w:rsidRDefault="008422E6">
      <w:pPr>
        <w:spacing w:line="360" w:lineRule="auto"/>
        <w:ind w:firstLine="709"/>
        <w:rPr>
          <w:rFonts w:eastAsia="Times New Roman"/>
          <w:b/>
          <w:bCs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>Задачи:</w:t>
      </w:r>
    </w:p>
    <w:p w14:paraId="059DE233" w14:textId="77777777" w:rsidR="00123BF0" w:rsidRDefault="008422E6">
      <w:pPr>
        <w:numPr>
          <w:ilvl w:val="0"/>
          <w:numId w:val="1"/>
        </w:numPr>
        <w:spacing w:line="360" w:lineRule="auto"/>
        <w:ind w:left="0" w:firstLine="709"/>
        <w:rPr>
          <w:rFonts w:eastAsia="Arial" w:cs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>Дать историческое обоснование предвоенного положения СССР и показать, как это предопределяло характер сопротивления ок</w:t>
      </w:r>
      <w:r>
        <w:rPr>
          <w:rFonts w:eastAsia="Arial"/>
          <w:kern w:val="0"/>
          <w:lang w:eastAsia="ru-RU"/>
          <w14:ligatures w14:val="none"/>
        </w:rPr>
        <w:t xml:space="preserve">купантам.  </w:t>
      </w:r>
    </w:p>
    <w:p w14:paraId="14FB7228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 xml:space="preserve">2.Описать ключевые нацистские планы и документы как основу политики геноцида.  </w:t>
      </w:r>
    </w:p>
    <w:p w14:paraId="0D5721C8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 xml:space="preserve">3.Раскрыть виды преступлений нацистов против советского народа и показать их системный характер.  </w:t>
      </w:r>
    </w:p>
    <w:p w14:paraId="62B7A070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>4.Продемонстрировать статистику человеческих, экономических и кул</w:t>
      </w:r>
      <w:r>
        <w:rPr>
          <w:rFonts w:eastAsia="Arial"/>
          <w:kern w:val="0"/>
          <w:lang w:eastAsia="ru-RU"/>
          <w14:ligatures w14:val="none"/>
        </w:rPr>
        <w:t xml:space="preserve">ьтурных потерь Советского Союза для осознания масштабов трагедии.  </w:t>
      </w:r>
    </w:p>
    <w:p w14:paraId="3992DE07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 xml:space="preserve">5.Объяснить необходимость создания механизмов документирования и юридического осуждения преступлений нацистов для понимания ответственности и правовой оценки.  </w:t>
      </w:r>
    </w:p>
    <w:p w14:paraId="525C7740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 xml:space="preserve">6.Аргументировать значение </w:t>
      </w:r>
      <w:r>
        <w:rPr>
          <w:rFonts w:eastAsia="Arial"/>
          <w:kern w:val="0"/>
          <w:lang w:eastAsia="ru-RU"/>
          <w14:ligatures w14:val="none"/>
        </w:rPr>
        <w:t xml:space="preserve">сохранения исторической памяти: роль законов, памятных дат и региональных инициатив в увековечении памяти жертв и профилактике повторения преступлений.  </w:t>
      </w:r>
    </w:p>
    <w:p w14:paraId="4057C1BE" w14:textId="77777777" w:rsidR="00123BF0" w:rsidRDefault="008422E6">
      <w:pPr>
        <w:spacing w:line="360" w:lineRule="auto"/>
        <w:ind w:firstLine="709"/>
        <w:rPr>
          <w:rFonts w:eastAsia="Arial"/>
          <w:kern w:val="0"/>
          <w:lang w:eastAsia="ru-RU"/>
          <w14:ligatures w14:val="none"/>
        </w:rPr>
      </w:pPr>
      <w:r>
        <w:rPr>
          <w:rFonts w:eastAsia="Arial"/>
          <w:kern w:val="0"/>
          <w:lang w:eastAsia="ru-RU"/>
          <w14:ligatures w14:val="none"/>
        </w:rPr>
        <w:t>7.Мотивировать слушателей к гражданской и научной активности в деле исследования, сохранения и передач</w:t>
      </w:r>
      <w:r>
        <w:rPr>
          <w:rFonts w:eastAsia="Arial"/>
          <w:kern w:val="0"/>
          <w:lang w:eastAsia="ru-RU"/>
          <w14:ligatures w14:val="none"/>
        </w:rPr>
        <w:t xml:space="preserve">и памяти о жертвах </w:t>
      </w:r>
      <w:proofErr w:type="gramStart"/>
      <w:r>
        <w:rPr>
          <w:rFonts w:eastAsia="Arial"/>
          <w:kern w:val="0"/>
          <w:lang w:eastAsia="ru-RU"/>
          <w14:ligatures w14:val="none"/>
        </w:rPr>
        <w:t>геноцида советского народа</w:t>
      </w:r>
      <w:proofErr w:type="gramEnd"/>
      <w:r>
        <w:rPr>
          <w:rFonts w:eastAsia="Arial"/>
          <w:kern w:val="0"/>
          <w:lang w:eastAsia="ru-RU"/>
          <w14:ligatures w14:val="none"/>
        </w:rPr>
        <w:t xml:space="preserve"> совершенного нацистами и их пособниками.</w:t>
      </w:r>
    </w:p>
    <w:p w14:paraId="01B07AA8" w14:textId="77777777" w:rsidR="00123BF0" w:rsidRDefault="008422E6">
      <w:pPr>
        <w:spacing w:line="360" w:lineRule="auto"/>
        <w:ind w:firstLine="709"/>
        <w:rPr>
          <w:rFonts w:eastAsia="Arial" w:cs="Arial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 xml:space="preserve">Формируемые ценности: </w:t>
      </w:r>
    </w:p>
    <w:p w14:paraId="6A5E3055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– жизнь;</w:t>
      </w:r>
    </w:p>
    <w:p w14:paraId="3A711AA7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–  </w:t>
      </w:r>
      <w:r>
        <w:rPr>
          <w:color w:val="333333"/>
          <w:shd w:val="clear" w:color="auto" w:fill="FFFFFF"/>
        </w:rPr>
        <w:t>историческая память и преемственность поколений;</w:t>
      </w:r>
    </w:p>
    <w:p w14:paraId="2018471F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– </w:t>
      </w:r>
      <w:r>
        <w:rPr>
          <w:rFonts w:eastAsia="Times New Roman"/>
          <w:color w:val="333333"/>
          <w:kern w:val="0"/>
          <w:highlight w:val="white"/>
          <w:lang w:eastAsia="ru-RU"/>
          <w14:ligatures w14:val="none"/>
        </w:rPr>
        <w:t>служение Отечеству и ответственность за его судьбу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5E6D2A8E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 xml:space="preserve">Смысловые направления: </w:t>
      </w:r>
      <w:r>
        <w:rPr>
          <w:rFonts w:eastAsia="Times New Roman"/>
          <w:kern w:val="0"/>
          <w:lang w:eastAsia="ru-RU"/>
          <w14:ligatures w14:val="none"/>
        </w:rPr>
        <w:t>историческое просвещение.</w:t>
      </w:r>
    </w:p>
    <w:p w14:paraId="1D066F91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 xml:space="preserve">Продолжительность: </w:t>
      </w:r>
      <w:r>
        <w:rPr>
          <w:rFonts w:eastAsia="Times New Roman"/>
          <w:kern w:val="0"/>
          <w:lang w:eastAsia="ru-RU"/>
          <w14:ligatures w14:val="none"/>
        </w:rPr>
        <w:t>40 минут.</w:t>
      </w:r>
    </w:p>
    <w:p w14:paraId="1AF2C952" w14:textId="77777777" w:rsidR="00123BF0" w:rsidRDefault="008422E6">
      <w:pPr>
        <w:spacing w:line="360" w:lineRule="auto"/>
        <w:ind w:firstLine="709"/>
        <w:rPr>
          <w:u w:val="singl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>Целевая аудитория: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>
        <w:t>школьники 10-11 классов, студенты.</w:t>
      </w:r>
    </w:p>
    <w:p w14:paraId="6F2218BE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lastRenderedPageBreak/>
        <w:t xml:space="preserve">Возрастное ограничение: </w:t>
      </w:r>
      <w:r>
        <w:rPr>
          <w:rFonts w:eastAsia="Times New Roman"/>
          <w:kern w:val="0"/>
          <w:lang w:eastAsia="ru-RU"/>
          <w14:ligatures w14:val="none"/>
        </w:rPr>
        <w:t>16+</w:t>
      </w:r>
    </w:p>
    <w:p w14:paraId="0A1C1595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>Тип методического материала:</w:t>
      </w:r>
      <w:r>
        <w:rPr>
          <w:rFonts w:eastAsia="Times New Roman"/>
          <w:kern w:val="0"/>
          <w:lang w:eastAsia="ru-RU"/>
          <w14:ligatures w14:val="none"/>
        </w:rPr>
        <w:t xml:space="preserve"> лекция.</w:t>
      </w:r>
    </w:p>
    <w:p w14:paraId="72749F9C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 xml:space="preserve">Комплект материалов: </w:t>
      </w:r>
      <w:r>
        <w:rPr>
          <w:rFonts w:eastAsia="Times New Roman"/>
          <w:kern w:val="0"/>
          <w:lang w:eastAsia="ru-RU"/>
          <w14:ligatures w14:val="none"/>
        </w:rPr>
        <w:t>сценарий, презентация.</w:t>
      </w:r>
      <w:r>
        <w:rPr>
          <w:rFonts w:eastAsia="Times New Roman"/>
          <w:kern w:val="0"/>
          <w:lang w:eastAsia="ru-RU"/>
          <w14:ligatures w14:val="none"/>
        </w:rPr>
        <w:br w:type="page"/>
      </w:r>
    </w:p>
    <w:p w14:paraId="40CCBB6E" w14:textId="5578A664" w:rsidR="00123C4A" w:rsidRDefault="00123C4A" w:rsidP="00123C4A">
      <w:pPr>
        <w:pStyle w:val="1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Слайд 1. </w:t>
      </w:r>
      <w:r>
        <w:rPr>
          <w:lang w:val="ru-RU"/>
        </w:rPr>
        <w:t>Инструкция интерум</w:t>
      </w:r>
    </w:p>
    <w:p w14:paraId="0D75ADD3" w14:textId="77777777" w:rsidR="00123C4A" w:rsidRDefault="00123C4A" w:rsidP="00123C4A">
      <w:pPr>
        <w:pStyle w:val="1"/>
        <w:spacing w:line="360" w:lineRule="auto"/>
        <w:ind w:firstLine="0"/>
        <w:jc w:val="both"/>
        <w:rPr>
          <w:lang w:val="ru-RU"/>
        </w:rPr>
      </w:pPr>
    </w:p>
    <w:p w14:paraId="7F1C237F" w14:textId="20F3F800" w:rsidR="00123BF0" w:rsidRDefault="008422E6">
      <w:pPr>
        <w:pStyle w:val="1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123C4A">
        <w:rPr>
          <w:lang w:val="ru-RU"/>
        </w:rPr>
        <w:t>2</w:t>
      </w:r>
      <w:r>
        <w:rPr>
          <w:lang w:val="ru-RU"/>
        </w:rPr>
        <w:t>. Титул</w:t>
      </w:r>
      <w:r>
        <w:rPr>
          <w:lang w:val="ru-RU"/>
        </w:rPr>
        <w:t>ьный</w:t>
      </w:r>
    </w:p>
    <w:p w14:paraId="758ABAD7" w14:textId="77777777" w:rsidR="00123BF0" w:rsidRDefault="008422E6">
      <w:pPr>
        <w:spacing w:line="360" w:lineRule="auto"/>
      </w:pPr>
      <w:r>
        <w:rPr>
          <w:rFonts w:eastAsia="Times New Roman"/>
          <w:color w:val="000000"/>
        </w:rPr>
        <w:t>История человечества знает немало примеров несправедливых войн, в ходе которых вооружённые силы агрессоров захватывали территорию противника, грабили оккупированную страну, подавляли и уничтожали её население. Но цивилизованный мир не видел ничего под</w:t>
      </w:r>
      <w:r>
        <w:rPr>
          <w:rFonts w:eastAsia="Times New Roman"/>
          <w:color w:val="000000"/>
        </w:rPr>
        <w:t xml:space="preserve">обного тому чудовищному </w:t>
      </w:r>
      <w:r>
        <w:rPr>
          <w:rFonts w:eastAsia="Times New Roman"/>
          <w:color w:val="000000"/>
        </w:rPr>
        <w:t>геноциду</w:t>
      </w:r>
      <w:r>
        <w:rPr>
          <w:rFonts w:eastAsia="Times New Roman"/>
          <w:color w:val="000000"/>
        </w:rPr>
        <w:t xml:space="preserve">, которому в годы Второй Мировой войны подвергли оккупированную территорию Советского Союза немецко-фашистские захватчики. </w:t>
      </w:r>
    </w:p>
    <w:p w14:paraId="662EC61C" w14:textId="77777777" w:rsidR="00123BF0" w:rsidRDefault="00123BF0">
      <w:pPr>
        <w:spacing w:line="360" w:lineRule="auto"/>
        <w:ind w:firstLine="709"/>
        <w:rPr>
          <w:highlight w:val="yellow"/>
        </w:rPr>
      </w:pPr>
    </w:p>
    <w:p w14:paraId="2B7311B1" w14:textId="56E85982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 xml:space="preserve">Слайд </w:t>
      </w:r>
      <w:r w:rsidR="00123C4A">
        <w:rPr>
          <w:b/>
          <w:bCs/>
        </w:rPr>
        <w:t>3</w:t>
      </w:r>
      <w:r>
        <w:rPr>
          <w:b/>
          <w:bCs/>
        </w:rPr>
        <w:t>. Регистрация</w:t>
      </w:r>
    </w:p>
    <w:p w14:paraId="2980E66A" w14:textId="36ED416F" w:rsidR="00123C4A" w:rsidRDefault="008422E6" w:rsidP="00123C4A">
      <w:pPr>
        <w:spacing w:line="360" w:lineRule="auto"/>
        <w:ind w:firstLine="709"/>
        <w:rPr>
          <w:b/>
          <w:bCs/>
        </w:rPr>
      </w:pPr>
      <w:r>
        <w:rPr>
          <w:rFonts w:eastAsia="Times New Roman"/>
        </w:rPr>
        <w:t xml:space="preserve">Прежде чем мы продолжим, предлагаю вам пройти быструю регистрацию. Для </w:t>
      </w:r>
      <w:r>
        <w:rPr>
          <w:rFonts w:eastAsia="Times New Roman"/>
        </w:rPr>
        <w:t>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  <w:r w:rsidR="00123C4A">
        <w:rPr>
          <w:rFonts w:eastAsia="Times New Roman"/>
        </w:rPr>
        <w:br/>
      </w:r>
      <w:r w:rsidR="00123C4A">
        <w:rPr>
          <w:rFonts w:eastAsia="Times New Roman"/>
        </w:rPr>
        <w:br/>
      </w:r>
      <w:r w:rsidR="00123C4A">
        <w:rPr>
          <w:rFonts w:eastAsia="Times New Roman"/>
        </w:rPr>
        <w:tab/>
      </w:r>
      <w:r w:rsidR="00123C4A">
        <w:rPr>
          <w:b/>
          <w:bCs/>
        </w:rPr>
        <w:t xml:space="preserve">Слайд </w:t>
      </w:r>
      <w:r w:rsidR="00123C4A">
        <w:rPr>
          <w:b/>
          <w:bCs/>
        </w:rPr>
        <w:t>4</w:t>
      </w:r>
      <w:r w:rsidR="00123C4A">
        <w:rPr>
          <w:b/>
          <w:bCs/>
        </w:rPr>
        <w:t xml:space="preserve">. </w:t>
      </w:r>
      <w:r w:rsidR="00123C4A">
        <w:rPr>
          <w:b/>
          <w:bCs/>
        </w:rPr>
        <w:t>Опрос интерум</w:t>
      </w:r>
    </w:p>
    <w:p w14:paraId="0BD6C5AF" w14:textId="77777777" w:rsidR="00123BF0" w:rsidRDefault="00123BF0"/>
    <w:p w14:paraId="496A75CF" w14:textId="7C41410C" w:rsidR="00123BF0" w:rsidRDefault="008422E6">
      <w:pPr>
        <w:pStyle w:val="1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123C4A">
        <w:rPr>
          <w:lang w:val="ru-RU"/>
        </w:rPr>
        <w:t>5</w:t>
      </w:r>
      <w:r>
        <w:rPr>
          <w:lang w:val="ru-RU"/>
        </w:rPr>
        <w:t>. СССР перед Вел</w:t>
      </w:r>
      <w:r>
        <w:rPr>
          <w:lang w:val="ru-RU"/>
        </w:rPr>
        <w:t>икой Отечественной войн</w:t>
      </w:r>
      <w:bookmarkEnd w:id="0"/>
      <w:bookmarkEnd w:id="1"/>
      <w:r>
        <w:rPr>
          <w:lang w:val="ru-RU"/>
        </w:rPr>
        <w:t>ой</w:t>
      </w:r>
    </w:p>
    <w:p w14:paraId="143658A0" w14:textId="77777777" w:rsidR="00123BF0" w:rsidRDefault="008422E6">
      <w:pPr>
        <w:spacing w:line="360" w:lineRule="auto"/>
        <w:ind w:firstLine="709"/>
      </w:pPr>
      <w:r>
        <w:t>В 1930-е годы Советский Союз стремительно восстанавливался после разрушительной гражданской войны. Одним из ведущих направлений государственной политики в СССР была ускоренная индустриализация. Техника ставилась на службу человеку</w:t>
      </w:r>
      <w:r>
        <w:t>. Протяженность железных дорог и объёмы их перевозок возросли многократно. Появилась гражданская авиация, на счету которой — рекордные полёты и спасение полярников с ледокола «Челюскин». Развивались не только европейские регионы СССР, но и республики Центр</w:t>
      </w:r>
      <w:r>
        <w:t xml:space="preserve">альной Азии, Дальний Восток. Метрополитен, тысячекилометровые беспосадочные перелёты, освоение новых земель — всё было по плечу </w:t>
      </w:r>
      <w:r>
        <w:lastRenderedPageBreak/>
        <w:t>советским энтузиастам, которые своим героическим трудом ставили новые рекорды.</w:t>
      </w:r>
    </w:p>
    <w:p w14:paraId="03F29E1D" w14:textId="77777777" w:rsidR="00123BF0" w:rsidRDefault="008422E6">
      <w:pPr>
        <w:spacing w:line="360" w:lineRule="auto"/>
        <w:ind w:firstLine="709"/>
      </w:pPr>
      <w:r>
        <w:t>По объёму промышленного производства Советский Со</w:t>
      </w:r>
      <w:r>
        <w:t>юз вышел на первое место в Европе и на второе в мире, а по темпам роста промышленного производства стал занимать ведущее положение. Быстро росло городское население. Медицина и образование стали доступны всем гражданам.</w:t>
      </w:r>
    </w:p>
    <w:p w14:paraId="0DA8638E" w14:textId="77777777" w:rsidR="00123BF0" w:rsidRDefault="008422E6">
      <w:pPr>
        <w:spacing w:line="360" w:lineRule="auto"/>
        <w:ind w:firstLine="709"/>
      </w:pPr>
      <w:r>
        <w:t xml:space="preserve">Государственный курс на </w:t>
      </w:r>
      <w:r>
        <w:t>индустриализацию потребовал развития системы образования. Была выстроена стройная система начального, среднего и высшего профессионального образования. С 1919 года была введена бесплатная система «ликвидации безграмотности» для граждан от 16 до 50 лет, кот</w:t>
      </w:r>
      <w:r>
        <w:t>орая позволила к 1939 году добиться 90%-й грамотности населения страны. В середине 1930-х годов в связи с ростом международной напряжённости и усилением патриотического воспитания в Советском Союзе в общеобразовательных школах был введён курс истории. Разв</w:t>
      </w:r>
      <w:r>
        <w:t>ивалась отечественная наука.</w:t>
      </w:r>
    </w:p>
    <w:p w14:paraId="0FFFE7BA" w14:textId="77777777" w:rsidR="00123BF0" w:rsidRDefault="008422E6">
      <w:pPr>
        <w:spacing w:line="360" w:lineRule="auto"/>
        <w:ind w:firstLine="709"/>
      </w:pPr>
      <w:r>
        <w:t>Советская страна преображалась, рос жизненный уровень. Советские граждане смело смотрели в будущее, которое они строили сами.</w:t>
      </w:r>
    </w:p>
    <w:p w14:paraId="67697354" w14:textId="77777777" w:rsidR="00123BF0" w:rsidRDefault="00123BF0">
      <w:pPr>
        <w:pStyle w:val="1"/>
        <w:spacing w:line="360" w:lineRule="auto"/>
        <w:ind w:firstLine="709"/>
        <w:jc w:val="both"/>
        <w:rPr>
          <w:lang w:val="ru-RU"/>
        </w:rPr>
      </w:pPr>
      <w:bookmarkStart w:id="2" w:name="_Toc225181743"/>
      <w:bookmarkStart w:id="3" w:name="_Toc226012847"/>
    </w:p>
    <w:p w14:paraId="537A5686" w14:textId="1D147654" w:rsidR="00123BF0" w:rsidRDefault="008422E6">
      <w:pPr>
        <w:pStyle w:val="1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123C4A">
        <w:rPr>
          <w:lang w:val="ru-RU"/>
        </w:rPr>
        <w:t>6</w:t>
      </w:r>
      <w:r>
        <w:rPr>
          <w:lang w:val="ru-RU"/>
        </w:rPr>
        <w:t>. Преступные планы нацистов</w:t>
      </w:r>
      <w:bookmarkEnd w:id="2"/>
      <w:bookmarkEnd w:id="3"/>
    </w:p>
    <w:p w14:paraId="175639EF" w14:textId="77777777" w:rsidR="00123BF0" w:rsidRDefault="008422E6">
      <w:pPr>
        <w:spacing w:line="360" w:lineRule="auto"/>
        <w:ind w:firstLine="709"/>
      </w:pPr>
      <w:r>
        <w:t>Перед началом войны против СССР нацисты разработали планы военног</w:t>
      </w:r>
      <w:r>
        <w:t>о разгрома, уничтожения государственности и большинства населения с последующей колонизацией Советского Союза. Чудовищный уровень насилия против советского народа был сознательно спланирован нацистами ещё до начала войны. Сохранившиеся нацистские документы</w:t>
      </w:r>
      <w:r>
        <w:t xml:space="preserve"> прямо говорят о нечеловеческой, людоедской натуре нацистской идеологии. </w:t>
      </w:r>
    </w:p>
    <w:p w14:paraId="61F944D6" w14:textId="77777777" w:rsidR="00123BF0" w:rsidRDefault="008422E6">
      <w:pPr>
        <w:pStyle w:val="af7"/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</w:pPr>
      <w:r>
        <w:t>Директива № 21 об утверждении плана «Барбаросса»</w:t>
      </w:r>
      <w:r>
        <w:rPr>
          <w:rStyle w:val="a3"/>
        </w:rPr>
        <w:footnoteReference w:id="1"/>
      </w:r>
      <w:r>
        <w:t xml:space="preserve"> (военный разгром Красной Армии);</w:t>
      </w:r>
    </w:p>
    <w:p w14:paraId="32D2BCBB" w14:textId="77777777" w:rsidR="00123BF0" w:rsidRDefault="008422E6">
      <w:pPr>
        <w:pStyle w:val="af7"/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0" w:firstLine="709"/>
      </w:pPr>
      <w:r>
        <w:lastRenderedPageBreak/>
        <w:t>«Зелёная папка» Геринга</w:t>
      </w:r>
      <w:r>
        <w:rPr>
          <w:rStyle w:val="a3"/>
        </w:rPr>
        <w:footnoteReference w:id="2"/>
      </w:r>
      <w:r>
        <w:t xml:space="preserve"> (превращение СССР в сырьевую базу Германии). Цель — разграбление экономи</w:t>
      </w:r>
      <w:r>
        <w:t>ки СССР:</w:t>
      </w:r>
    </w:p>
    <w:p w14:paraId="599F167E" w14:textId="77777777" w:rsidR="00123BF0" w:rsidRDefault="008422E6">
      <w:pPr>
        <w:pStyle w:val="af7"/>
        <w:numPr>
          <w:ilvl w:val="0"/>
          <w:numId w:val="2"/>
        </w:numPr>
        <w:spacing w:line="360" w:lineRule="auto"/>
        <w:ind w:left="0" w:firstLine="709"/>
      </w:pPr>
      <w:r>
        <w:t>вывоз оборудования советских заводов;</w:t>
      </w:r>
    </w:p>
    <w:p w14:paraId="472EC154" w14:textId="77777777" w:rsidR="00123BF0" w:rsidRDefault="008422E6">
      <w:pPr>
        <w:pStyle w:val="af7"/>
        <w:numPr>
          <w:ilvl w:val="0"/>
          <w:numId w:val="2"/>
        </w:numPr>
        <w:spacing w:line="360" w:lineRule="auto"/>
        <w:ind w:left="0" w:firstLine="709"/>
      </w:pPr>
      <w:r>
        <w:t>ликвидация промышленности;</w:t>
      </w:r>
    </w:p>
    <w:p w14:paraId="67BBA062" w14:textId="77777777" w:rsidR="00123BF0" w:rsidRDefault="008422E6">
      <w:pPr>
        <w:pStyle w:val="af7"/>
        <w:numPr>
          <w:ilvl w:val="0"/>
          <w:numId w:val="2"/>
        </w:numPr>
        <w:spacing w:line="360" w:lineRule="auto"/>
        <w:ind w:left="0" w:firstLine="709"/>
      </w:pPr>
      <w:r>
        <w:t>превращение СССР в аграрно-сырьевую базу Германии.</w:t>
      </w:r>
    </w:p>
    <w:p w14:paraId="2404CCE2" w14:textId="77777777" w:rsidR="00123BF0" w:rsidRDefault="008422E6">
      <w:pPr>
        <w:pStyle w:val="af7"/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0" w:firstLine="709"/>
      </w:pPr>
      <w:r>
        <w:t>Генеральный план «Ост»</w:t>
      </w:r>
      <w:r>
        <w:rPr>
          <w:rStyle w:val="a3"/>
        </w:rPr>
        <w:footnoteReference w:id="3"/>
      </w:r>
      <w:r>
        <w:t xml:space="preserve"> (колонизация СССР и порабощение советских граждан).  Цель — колонизация СССР:</w:t>
      </w:r>
    </w:p>
    <w:p w14:paraId="6734C88D" w14:textId="77777777" w:rsidR="00123BF0" w:rsidRDefault="008422E6">
      <w:pPr>
        <w:pStyle w:val="af7"/>
        <w:numPr>
          <w:ilvl w:val="0"/>
          <w:numId w:val="3"/>
        </w:numPr>
        <w:spacing w:line="360" w:lineRule="auto"/>
        <w:ind w:left="0" w:firstLine="709"/>
      </w:pPr>
      <w:r>
        <w:t>65–75% советских граждан будут выселены на смерть в непригодных условиях;</w:t>
      </w:r>
    </w:p>
    <w:p w14:paraId="6EFEA9E1" w14:textId="77777777" w:rsidR="00123BF0" w:rsidRDefault="008422E6">
      <w:pPr>
        <w:pStyle w:val="af7"/>
        <w:numPr>
          <w:ilvl w:val="0"/>
          <w:numId w:val="3"/>
        </w:numPr>
        <w:spacing w:line="360" w:lineRule="auto"/>
        <w:ind w:left="0" w:firstLine="709"/>
      </w:pPr>
      <w:r>
        <w:t>25–35% выживших станут рабами немецких колонистов.</w:t>
      </w:r>
    </w:p>
    <w:p w14:paraId="3AC802B7" w14:textId="77777777" w:rsidR="00123BF0" w:rsidRDefault="008422E6">
      <w:pPr>
        <w:pStyle w:val="af7"/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0" w:firstLine="709"/>
      </w:pPr>
      <w:r>
        <w:t>«План Бакке»</w:t>
      </w:r>
      <w:r>
        <w:rPr>
          <w:rStyle w:val="a3"/>
        </w:rPr>
        <w:footnoteReference w:id="4"/>
      </w:r>
      <w:r>
        <w:t xml:space="preserve"> (вывезти максимум продовольствия из С</w:t>
      </w:r>
      <w:r>
        <w:t>ССР в Германию, обречь на голодную смерть десятки миллионов советских граждан). Цель — голодная смерть советских граждан:</w:t>
      </w:r>
    </w:p>
    <w:p w14:paraId="261D0890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</w:pPr>
      <w:r>
        <w:t>накормить Германию за счёт ограбления Советского Союза;</w:t>
      </w:r>
    </w:p>
    <w:p w14:paraId="42DE4D3C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</w:pPr>
      <w:r>
        <w:rPr>
          <w:kern w:val="0"/>
          <w14:ligatures w14:val="none"/>
        </w:rPr>
        <w:t>до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30 000 </w:t>
      </w:r>
      <w:r>
        <w:t>000</w:t>
      </w:r>
      <w:r>
        <w:rPr>
          <w:kern w:val="0"/>
          <w14:ligatures w14:val="none"/>
        </w:rPr>
        <w:t xml:space="preserve"> «лишних» советских людей должны были погибнуть</w:t>
      </w:r>
      <w:r>
        <w:rPr>
          <w:rStyle w:val="a3"/>
          <w:kern w:val="0"/>
          <w14:ligatures w14:val="none"/>
        </w:rPr>
        <w:footnoteReference w:id="5"/>
      </w:r>
      <w:r>
        <w:rPr>
          <w:kern w:val="0"/>
          <w14:ligatures w14:val="none"/>
        </w:rPr>
        <w:t>.</w:t>
      </w:r>
    </w:p>
    <w:p w14:paraId="6545D73A" w14:textId="77777777" w:rsidR="00123BF0" w:rsidRDefault="008422E6">
      <w:pPr>
        <w:spacing w:line="360" w:lineRule="auto"/>
        <w:ind w:firstLine="709"/>
      </w:pPr>
      <w:r>
        <w:t>К планированию</w:t>
      </w:r>
      <w:r>
        <w:t xml:space="preserve"> военных действий против СССР были привлечены почти все ведомства нацистской Германии.  </w:t>
      </w:r>
    </w:p>
    <w:p w14:paraId="435EC382" w14:textId="77777777" w:rsidR="00123BF0" w:rsidRDefault="00123BF0">
      <w:pPr>
        <w:spacing w:line="360" w:lineRule="auto"/>
        <w:ind w:firstLine="709"/>
      </w:pPr>
      <w:bookmarkStart w:id="4" w:name="_Toc225181745"/>
      <w:bookmarkStart w:id="5" w:name="_Toc226012850"/>
    </w:p>
    <w:p w14:paraId="257F1A3C" w14:textId="3215E287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 xml:space="preserve">Слайд </w:t>
      </w:r>
      <w:r w:rsidR="00123C4A">
        <w:rPr>
          <w:b/>
          <w:bCs/>
        </w:rPr>
        <w:t>7</w:t>
      </w:r>
      <w:r>
        <w:rPr>
          <w:b/>
          <w:bCs/>
        </w:rPr>
        <w:t>. Цель нацистской Германии — геноцид советского народ</w:t>
      </w:r>
      <w:bookmarkEnd w:id="4"/>
      <w:r>
        <w:rPr>
          <w:b/>
          <w:bCs/>
        </w:rPr>
        <w:t>а</w:t>
      </w:r>
      <w:bookmarkEnd w:id="5"/>
    </w:p>
    <w:p w14:paraId="181E38A1" w14:textId="77777777" w:rsidR="00123BF0" w:rsidRDefault="008422E6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Нацистские идеологи с середины 1920-х годов обосновывали идею завоевательной войны против СССР. Придя к </w:t>
      </w:r>
      <w:r>
        <w:rPr>
          <w:sz w:val="28"/>
          <w:szCs w:val="28"/>
        </w:rPr>
        <w:t xml:space="preserve">власти в Германии, они начали масштабную подготовку к захвату и последующей колонизации Советского Союза. </w:t>
      </w:r>
      <w:bookmarkStart w:id="6" w:name="_heading=h.4d34og8"/>
      <w:r>
        <w:rPr>
          <w:color w:val="000000"/>
          <w:sz w:val="28"/>
          <w:szCs w:val="28"/>
        </w:rPr>
        <w:t xml:space="preserve">Идеологической основой германской оккупационной политике на Востоке 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годы Великой Отечественной войны</w:t>
      </w:r>
      <w:r>
        <w:rPr>
          <w:color w:val="000000"/>
          <w:sz w:val="28"/>
          <w:szCs w:val="28"/>
        </w:rPr>
        <w:t xml:space="preserve"> служила расовая теория, выдвинутая нацистскими </w:t>
      </w:r>
      <w:r>
        <w:rPr>
          <w:color w:val="000000"/>
          <w:sz w:val="28"/>
          <w:szCs w:val="28"/>
        </w:rPr>
        <w:t xml:space="preserve">главарями для обоснования их далеко идущих захватнических планов. </w:t>
      </w:r>
    </w:p>
    <w:p w14:paraId="5A6F413E" w14:textId="77777777" w:rsidR="00123BF0" w:rsidRDefault="008422E6">
      <w:pPr>
        <w:spacing w:line="360" w:lineRule="auto"/>
        <w:ind w:firstLine="709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lastRenderedPageBreak/>
        <w:t xml:space="preserve">Нацистская пропаганда внушала населению Германии, что немцы являются «высшей расой», которой предназначено господствовать над всеми другими народами, особенно славянскими. Удел последних </w:t>
      </w:r>
      <w:r>
        <w:t>—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подчиняться и содержать своим трудом немецкую «расу господ». Широко известно следующее высказывание Гитлера: «Когда мы говорим о завоевании новых земель в Европе, конечно, можно иметь в виду в первую очередь только Россию и те окраинные государства, котор</w:t>
      </w:r>
      <w:r>
        <w:rPr>
          <w:rFonts w:eastAsia="Times New Roman"/>
          <w:color w:val="000000"/>
          <w:kern w:val="0"/>
          <w:lang w:eastAsia="ru-RU"/>
          <w14:ligatures w14:val="none"/>
        </w:rPr>
        <w:t>ые ей подчинены»</w:t>
      </w:r>
      <w:r>
        <w:rPr>
          <w:rStyle w:val="a3"/>
          <w:rFonts w:eastAsia="Times New Roman"/>
          <w:color w:val="000000"/>
          <w:kern w:val="0"/>
          <w:lang w:eastAsia="ru-RU"/>
          <w14:ligatures w14:val="none"/>
        </w:rPr>
        <w:footnoteReference w:id="6"/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</w:t>
      </w:r>
      <w:bookmarkEnd w:id="6"/>
    </w:p>
    <w:p w14:paraId="7926CFAC" w14:textId="77777777" w:rsidR="00123BF0" w:rsidRDefault="008422E6">
      <w:pPr>
        <w:spacing w:line="360" w:lineRule="auto"/>
        <w:ind w:firstLine="709"/>
      </w:pPr>
      <w:r>
        <w:t>С первых же дней войны нацисты и их пособники вели «войну на уничтожение» против Советского Союза и его граждан, которая включала в себя преступления против детства, угон в рабство, уничтожение военнопленных, карательные операции, созд</w:t>
      </w:r>
      <w:r>
        <w:t>ание условий, несовместимых с жизнью, и культурный геноцид.</w:t>
      </w:r>
    </w:p>
    <w:p w14:paraId="60F9E5C1" w14:textId="77777777" w:rsidR="00123BF0" w:rsidRDefault="008422E6">
      <w:pPr>
        <w:spacing w:line="360" w:lineRule="auto"/>
        <w:ind w:firstLine="709"/>
      </w:pPr>
      <w:r>
        <w:t>Соответственно этому строилась политика захватчиков. Оккупанты и их пособники убивали, сжигали заживо, мучили, насиловали, грабили и угоняли в рабство советских людей — военнослужащих и мирных жит</w:t>
      </w:r>
      <w:r>
        <w:t xml:space="preserve">елей: женщин, стариков, детей. Нацистские варвары разрушали нашу культуру. </w:t>
      </w:r>
      <w:bookmarkStart w:id="7" w:name="_Toc225181746"/>
    </w:p>
    <w:p w14:paraId="6DF00915" w14:textId="77777777" w:rsidR="00123BF0" w:rsidRDefault="008422E6">
      <w:pPr>
        <w:spacing w:line="360" w:lineRule="auto"/>
        <w:ind w:firstLine="709"/>
      </w:pPr>
      <w:r>
        <w:t xml:space="preserve">Сегодня геноцидом советского народа в России признаны «действия нацистов и их пособников в период Великой Отечественной войны 1941–1945 годов, направленные на полное или частичное </w:t>
      </w:r>
      <w:r>
        <w:t>уничтожение национальных, этнических и расовых групп, населявших территорию СССР, путем убийства членов этих групп, причинения тяжкого вреда их здоровью, насильственного воспрепятствования деторождению, принудительной передачи детей, насильственного пересе</w:t>
      </w:r>
      <w:r>
        <w:t>ления либо иного создания жизненных условий, рассчитанных на физическое уничтожение членов этих групп»</w:t>
      </w:r>
      <w:r>
        <w:rPr>
          <w:rStyle w:val="a3"/>
        </w:rPr>
        <w:footnoteReference w:id="7"/>
      </w:r>
      <w:r>
        <w:t xml:space="preserve">. </w:t>
      </w:r>
    </w:p>
    <w:p w14:paraId="2C996104" w14:textId="77777777" w:rsidR="00123BF0" w:rsidRDefault="00123BF0">
      <w:pPr>
        <w:spacing w:line="360" w:lineRule="auto"/>
        <w:ind w:firstLine="709"/>
      </w:pPr>
    </w:p>
    <w:p w14:paraId="132BAFFF" w14:textId="76C93611" w:rsidR="00123BF0" w:rsidRDefault="008422E6">
      <w:pPr>
        <w:pStyle w:val="2"/>
        <w:spacing w:line="360" w:lineRule="auto"/>
        <w:ind w:firstLine="709"/>
      </w:pPr>
      <w:bookmarkStart w:id="8" w:name="_Toc226012851"/>
      <w:r>
        <w:t xml:space="preserve">Слайд </w:t>
      </w:r>
      <w:r w:rsidR="00123C4A">
        <w:t>8</w:t>
      </w:r>
      <w:r>
        <w:t>. Преступления против детства</w:t>
      </w:r>
      <w:bookmarkEnd w:id="7"/>
      <w:bookmarkEnd w:id="8"/>
    </w:p>
    <w:p w14:paraId="0E0B7F70" w14:textId="77777777" w:rsidR="00123BF0" w:rsidRDefault="008422E6">
      <w:pPr>
        <w:spacing w:line="360" w:lineRule="auto"/>
        <w:ind w:firstLine="709"/>
      </w:pPr>
      <w:r>
        <w:lastRenderedPageBreak/>
        <w:t xml:space="preserve">Особое внимание в преступных нацистских планах уделялось советским детям. Так, в Замечаниях и предложениях «восточного министерства» по генеральному плану «Ост» от 27 апреля 1942 г. </w:t>
      </w:r>
      <w:r>
        <w:rPr>
          <w:color w:val="333333"/>
        </w:rPr>
        <w:t>было целенаправленно прописано условие</w:t>
      </w:r>
      <w:r>
        <w:t xml:space="preserve"> «подорвать биологическую силу» сове</w:t>
      </w:r>
      <w:r>
        <w:t>тского народа. Как там зафиксировано: «</w:t>
      </w:r>
      <w:r>
        <w:rPr>
          <w:i/>
          <w:iCs/>
        </w:rPr>
        <w:t xml:space="preserve">Целью немецкой политики по отношению к населению на русской территории будет являться доведение рождаемости русских до более низкого уровня, чем у немцев. То же самое относится, между прочим, к чрезвычайно плодовитым </w:t>
      </w:r>
      <w:r>
        <w:rPr>
          <w:i/>
          <w:iCs/>
        </w:rPr>
        <w:t>народам Кавказа</w:t>
      </w:r>
      <w:r>
        <w:t>»</w:t>
      </w:r>
      <w:r>
        <w:rPr>
          <w:rStyle w:val="a3"/>
        </w:rPr>
        <w:footnoteReference w:id="8"/>
      </w:r>
      <w:r>
        <w:t xml:space="preserve">. Для этого предполагался целый комплекс мер, включавший резкое понижение образовательного и санитарно-эпидемиологического уровня, социального благополучия оккупированных народов, </w:t>
      </w:r>
      <w:r>
        <w:t>проведение стерилизации.</w:t>
      </w:r>
    </w:p>
    <w:p w14:paraId="6A24AF32" w14:textId="77777777" w:rsidR="00123BF0" w:rsidRDefault="008422E6">
      <w:pPr>
        <w:spacing w:line="360" w:lineRule="auto"/>
        <w:ind w:firstLine="709"/>
      </w:pPr>
      <w:r>
        <w:t>Против советских детей оккупантам</w:t>
      </w:r>
      <w:r>
        <w:t>и применялась та же политика: тотальный произвол захватчиков, убийства за малейшее подозрение, голод, непосильные работы, угон в рабство. Трагическая история произошла в Ейске, куда из Симферополя эвакуировали от войны воспитанников детского дома. Но немцы</w:t>
      </w:r>
      <w:r>
        <w:t xml:space="preserve"> оккупировали город и убили как минимум 214 детей</w:t>
      </w:r>
      <w:r>
        <w:rPr>
          <w:rStyle w:val="a3"/>
        </w:rPr>
        <w:footnoteReference w:id="9"/>
      </w:r>
      <w:r>
        <w:t>. Одно из чудовищных преступлений произошло в Аношенском детском доме в Смоленской области. За два года там замучили, заморили голодом и расстреляли 113 воспитанников</w:t>
      </w:r>
      <w:r>
        <w:rPr>
          <w:rStyle w:val="a3"/>
        </w:rPr>
        <w:footnoteReference w:id="10"/>
      </w:r>
      <w:r>
        <w:t>. Недалеко от Риги, в концлагере «Сал</w:t>
      </w:r>
      <w:r>
        <w:t>аспилс», куда немцы свозили несовершеннолетних, было убито и погибло от различных экспериментов более 7000 детей</w:t>
      </w:r>
      <w:r>
        <w:rPr>
          <w:rStyle w:val="a3"/>
        </w:rPr>
        <w:footnoteReference w:id="11"/>
      </w:r>
      <w:r>
        <w:t>.</w:t>
      </w:r>
    </w:p>
    <w:p w14:paraId="1C620442" w14:textId="77777777" w:rsidR="00123BF0" w:rsidRDefault="008422E6">
      <w:pPr>
        <w:spacing w:line="360" w:lineRule="auto"/>
        <w:ind w:firstLine="709"/>
      </w:pPr>
      <w:r>
        <w:lastRenderedPageBreak/>
        <w:t>Нацисты целенаправленно уничтожали детей, чтобы лишить советский народ будущего. Уничтожение детей — один из квалифицирующих признаков геноц</w:t>
      </w:r>
      <w:r>
        <w:t>ида. От рук оккупантов погибло не менее 216,5 тысяч советских детей</w:t>
      </w:r>
      <w:r>
        <w:rPr>
          <w:rStyle w:val="a3"/>
        </w:rPr>
        <w:footnoteReference w:id="12"/>
      </w:r>
      <w:r>
        <w:t xml:space="preserve">. </w:t>
      </w:r>
    </w:p>
    <w:p w14:paraId="774A0B73" w14:textId="77777777" w:rsidR="00123BF0" w:rsidRDefault="00123BF0">
      <w:pPr>
        <w:spacing w:line="360" w:lineRule="auto"/>
        <w:ind w:firstLine="709"/>
      </w:pPr>
    </w:p>
    <w:p w14:paraId="6EA632CF" w14:textId="56A53C8A" w:rsidR="00123BF0" w:rsidRDefault="008422E6">
      <w:pPr>
        <w:spacing w:line="360" w:lineRule="auto"/>
        <w:ind w:firstLine="709"/>
        <w:rPr>
          <w:b/>
          <w:bCs/>
        </w:rPr>
      </w:pPr>
      <w:bookmarkStart w:id="9" w:name="_Toc225181747"/>
      <w:r>
        <w:rPr>
          <w:b/>
          <w:bCs/>
        </w:rPr>
        <w:t xml:space="preserve">Слайд </w:t>
      </w:r>
      <w:r w:rsidR="00123C4A">
        <w:rPr>
          <w:b/>
          <w:bCs/>
        </w:rPr>
        <w:t>9</w:t>
      </w:r>
      <w:r>
        <w:rPr>
          <w:b/>
          <w:bCs/>
        </w:rPr>
        <w:t xml:space="preserve">. </w:t>
      </w:r>
      <w:bookmarkEnd w:id="9"/>
      <w:r>
        <w:rPr>
          <w:b/>
          <w:bCs/>
        </w:rPr>
        <w:t>Рабский труд</w:t>
      </w:r>
    </w:p>
    <w:p w14:paraId="78F82F19" w14:textId="77777777" w:rsidR="00123BF0" w:rsidRDefault="008422E6">
      <w:pPr>
        <w:spacing w:line="360" w:lineRule="auto"/>
        <w:ind w:firstLine="709"/>
      </w:pPr>
      <w:r>
        <w:t xml:space="preserve">Экономика нацистского режима во время войны была основана на рабском труде миллионов людей. Нацисты принудительно вывозили советских граждан на различные работы </w:t>
      </w:r>
      <w:r>
        <w:t>в Германию. Их называли «остарбайтерами»</w:t>
      </w:r>
      <w:r>
        <w:rPr>
          <w:rStyle w:val="a3"/>
        </w:rPr>
        <w:footnoteReference w:id="13"/>
      </w:r>
      <w:r>
        <w:t>.  Их ожидал тяжёлый труд, уничижительное отношение, полуголодное существование, националистическая пропаганда и строгая цензура, которая запрещала писать или отправлять родным фотографии, раскрывающие реальное пол</w:t>
      </w:r>
      <w:r>
        <w:t>ожение дел. Ещё хуже было положение «остарбайтеров», которых на бирже труда купили немецкие помещики. Их содержали зачастую вместе с домашними животными в хлеву; никакой связи с родными у этих советских людей не было. Они находились в полном всевластии нем</w:t>
      </w:r>
      <w:r>
        <w:t>ецких бауэров.</w:t>
      </w:r>
    </w:p>
    <w:p w14:paraId="6433D4AE" w14:textId="77777777" w:rsidR="00123BF0" w:rsidRDefault="008422E6">
      <w:pPr>
        <w:spacing w:line="360" w:lineRule="auto"/>
        <w:ind w:firstLine="709"/>
      </w:pPr>
      <w:r>
        <w:t>Труд «работников с Востока» рассматривался нацистами не только как экономическое средство, но и как метод подрыва «биологической силы» оккупированных народов. 9 июня 1942 года рейхсфюрер СС Гиммлер произнёс речь, которая заканчивалась словам</w:t>
      </w:r>
      <w:r>
        <w:t>и: «</w:t>
      </w:r>
      <w:r>
        <w:rPr>
          <w:i/>
          <w:iCs/>
        </w:rPr>
        <w:t>У нас точно будут сезонные рабочие. Но если они хотят иметь детей, они должны получить их где-то ещё, а не у нас. Создание семьи, поселение здесь и т.д. не будет и не может быть позволено. Они должны работать здесь и осенью снова будут вывезены. Их мож</w:t>
      </w:r>
      <w:r>
        <w:rPr>
          <w:i/>
          <w:iCs/>
        </w:rPr>
        <w:t>но расположить в лагерях. &lt;...&gt; Мы полностью будем уничтожать любую рабскую семью</w:t>
      </w:r>
      <w:r>
        <w:t>»</w:t>
      </w:r>
      <w:r>
        <w:rPr>
          <w:rStyle w:val="a3"/>
        </w:rPr>
        <w:footnoteReference w:id="14"/>
      </w:r>
      <w:r>
        <w:t>.</w:t>
      </w:r>
    </w:p>
    <w:p w14:paraId="33730821" w14:textId="77777777" w:rsidR="00123BF0" w:rsidRDefault="008422E6">
      <w:pPr>
        <w:spacing w:line="360" w:lineRule="auto"/>
        <w:ind w:firstLine="709"/>
      </w:pPr>
      <w:r>
        <w:lastRenderedPageBreak/>
        <w:t>Цели нацистов и статистика смертности «остарбайтеров» доказывают, что это был один из методов геноцида советского народа.</w:t>
      </w:r>
    </w:p>
    <w:p w14:paraId="5F0BA990" w14:textId="77777777" w:rsidR="00123BF0" w:rsidRDefault="00123BF0">
      <w:pPr>
        <w:spacing w:line="360" w:lineRule="auto"/>
        <w:ind w:firstLine="709"/>
      </w:pPr>
    </w:p>
    <w:p w14:paraId="5D74CF67" w14:textId="700EF90E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 xml:space="preserve">Слайд </w:t>
      </w:r>
      <w:r w:rsidR="00123C4A">
        <w:rPr>
          <w:b/>
          <w:bCs/>
        </w:rPr>
        <w:t>10</w:t>
      </w:r>
      <w:r>
        <w:rPr>
          <w:b/>
          <w:bCs/>
        </w:rPr>
        <w:t>. Места принудительного содержания</w:t>
      </w:r>
    </w:p>
    <w:p w14:paraId="6545974E" w14:textId="77777777" w:rsidR="00123BF0" w:rsidRDefault="008422E6">
      <w:pPr>
        <w:spacing w:line="360" w:lineRule="auto"/>
        <w:ind w:firstLine="709"/>
      </w:pPr>
      <w:r>
        <w:t>Нацис</w:t>
      </w:r>
      <w:r>
        <w:t>тские оккупанты создали на территории СССР разветвлённую сеть мест принудительного содержания мирного населения и военнопленных. Нацистские концлагеря формально подразделялись по типовому принципу: для военнопленных, для мирного населения, для детей. Однак</w:t>
      </w:r>
      <w:r>
        <w:t>о данное разделение зачастую не соблюдалось и не имело принципиального значения, так как геноцидальная политика нацистов распространялась на всех жителей оккупированной территории СССР.</w:t>
      </w:r>
    </w:p>
    <w:p w14:paraId="39CA72F6" w14:textId="77777777" w:rsidR="00123BF0" w:rsidRDefault="008422E6">
      <w:pPr>
        <w:spacing w:line="360" w:lineRule="auto"/>
        <w:ind w:firstLine="709"/>
      </w:pPr>
      <w:r>
        <w:t xml:space="preserve">В нацистском плену погибли более </w:t>
      </w:r>
      <w:r>
        <w:t>3</w:t>
      </w:r>
      <w:r>
        <w:t>,</w:t>
      </w:r>
      <w:r>
        <w:t>3</w:t>
      </w:r>
      <w:r>
        <w:t xml:space="preserve"> миллионов советских военнопленных</w:t>
      </w:r>
      <w:r>
        <w:t xml:space="preserve">. Эта статистика говорит о том, что массовая смертность в лагерях для военнопленных не была «эксцессом исполнителя». Сегодня известны бесчеловечные приказы начальника отдела по делам военнопленных генерала </w:t>
      </w:r>
      <w:r>
        <w:br/>
        <w:t>Г. Рейнеке</w:t>
      </w:r>
      <w:r>
        <w:rPr>
          <w:rStyle w:val="a3"/>
        </w:rPr>
        <w:footnoteReference w:id="15"/>
      </w:r>
      <w:r>
        <w:t>, который снижал нормы питания советс</w:t>
      </w:r>
      <w:r>
        <w:t>ких военнопленных вдвое ниже биологического минимума и требовал активно применять оружие против них.</w:t>
      </w:r>
    </w:p>
    <w:p w14:paraId="26A9293A" w14:textId="77777777" w:rsidR="00123BF0" w:rsidRDefault="008422E6">
      <w:pPr>
        <w:spacing w:line="360" w:lineRule="auto"/>
        <w:ind w:firstLine="709"/>
      </w:pPr>
      <w:r>
        <w:t>Лагеря для военнопленных делились на сборные армейские пункты, пересыльные лагеря («дулаги») и постоянные лагеря для рядовых («шталаги») и офицеров («офлаг</w:t>
      </w:r>
      <w:r>
        <w:t>и»).</w:t>
      </w:r>
    </w:p>
    <w:p w14:paraId="429F5217" w14:textId="77777777" w:rsidR="00123BF0" w:rsidRDefault="008422E6">
      <w:pPr>
        <w:spacing w:line="360" w:lineRule="auto"/>
        <w:ind w:firstLine="709"/>
      </w:pPr>
      <w:r>
        <w:t>Положение узников лагерей было катастрофическим. В них не было ни минимального обеспечения продовольствием, ни медицинской помощи. В некоторых лагерях узников не кормили совсем и даже не давали воды, чтобы истребить их в максимально короткие сроки. Та</w:t>
      </w:r>
      <w:r>
        <w:t>к, в Смоленской области местом нацистского геноцида советского народа стал пересыльный лагерь «дулаг-130»</w:t>
      </w:r>
      <w:r>
        <w:rPr>
          <w:rStyle w:val="a3"/>
        </w:rPr>
        <w:footnoteReference w:id="16"/>
      </w:r>
      <w:r>
        <w:t xml:space="preserve"> на юго-западной окраине Рославля. К концу декабря 1941 года количество </w:t>
      </w:r>
      <w:r>
        <w:lastRenderedPageBreak/>
        <w:t>военнопленных достигло 100 тысяч человек. В самом лагере два раза в день выдавали по пол-литра баланды (одна-две ложки ржаной муки с отрубями, разболтанной в литре воды) и один раз в ч</w:t>
      </w:r>
      <w:r>
        <w:t>етыре-пять дней — по 150-200 грамм хлеба на человека</w:t>
      </w:r>
      <w:r>
        <w:rPr>
          <w:rStyle w:val="a3"/>
        </w:rPr>
        <w:footnoteReference w:id="17"/>
      </w:r>
      <w:r>
        <w:t>. В день нужно было затратить 10-11 часов для получения одной-двух ложек муки. Всё это время приходилось стоять (сидеть было запрещено) под открытым небом в любую погоду, по икры в грязи осенью и в снег</w:t>
      </w:r>
      <w:r>
        <w:t>у зимой. Смертность в лагере от голода, холода, болезней и расстрелов достигала 3-4 процентов в день. Это значит, что за месяц весь состав пленных вымирал. За два с половиной осенних месяца вместе с гражданскими пленными, составлявшими большинство, в лагер</w:t>
      </w:r>
      <w:r>
        <w:t>е умерло 8500 человек, то есть, в среднем, более 100 человек в день. В зимние месяцы ежедневно умирало от 400 до 600 человек.</w:t>
      </w:r>
      <w:r>
        <w:rPr>
          <w:rStyle w:val="a3"/>
        </w:rPr>
        <w:footnoteReference w:id="18"/>
      </w:r>
    </w:p>
    <w:p w14:paraId="751D02C9" w14:textId="77777777" w:rsidR="00123BF0" w:rsidRDefault="008422E6">
      <w:pPr>
        <w:spacing w:line="360" w:lineRule="auto"/>
        <w:ind w:firstLine="709"/>
      </w:pPr>
      <w:r>
        <w:t>Плен использовался нацистами как один из методов геноцида советского народа.</w:t>
      </w:r>
    </w:p>
    <w:p w14:paraId="7500CF54" w14:textId="77777777" w:rsidR="00123BF0" w:rsidRDefault="00123BF0">
      <w:pPr>
        <w:spacing w:line="360" w:lineRule="auto"/>
        <w:ind w:firstLine="709"/>
        <w:rPr>
          <w:b/>
          <w:bCs/>
        </w:rPr>
      </w:pPr>
    </w:p>
    <w:p w14:paraId="3B1EC287" w14:textId="484A6527" w:rsidR="00123BF0" w:rsidRDefault="008422E6">
      <w:pPr>
        <w:pStyle w:val="2"/>
        <w:spacing w:line="360" w:lineRule="auto"/>
        <w:ind w:firstLine="709"/>
      </w:pPr>
      <w:bookmarkStart w:id="10" w:name="_Toc225181749"/>
      <w:bookmarkStart w:id="11" w:name="_Toc226012852"/>
      <w:r>
        <w:t xml:space="preserve">Слайд </w:t>
      </w:r>
      <w:r w:rsidR="00123C4A">
        <w:t>11</w:t>
      </w:r>
      <w:r>
        <w:t>. Карательные операции</w:t>
      </w:r>
      <w:bookmarkEnd w:id="10"/>
      <w:bookmarkEnd w:id="11"/>
      <w:r>
        <w:t xml:space="preserve"> нацистов</w:t>
      </w:r>
    </w:p>
    <w:p w14:paraId="26197602" w14:textId="77777777" w:rsidR="00123BF0" w:rsidRDefault="008422E6">
      <w:pPr>
        <w:spacing w:line="360" w:lineRule="auto"/>
        <w:ind w:firstLine="709"/>
      </w:pPr>
      <w:r>
        <w:t xml:space="preserve">Карательные операции, которые проводили оккупанты против мирного советского населения, были наглядным проявлением нацистского геноцида советского народа. Они осуществлялись военными, охранными, полицейскими и специальными подразделениями оккупантов. </w:t>
      </w:r>
    </w:p>
    <w:p w14:paraId="39D0F0B6" w14:textId="77777777" w:rsidR="00123BF0" w:rsidRDefault="008422E6">
      <w:pPr>
        <w:spacing w:line="360" w:lineRule="auto"/>
        <w:ind w:firstLine="709"/>
      </w:pPr>
      <w:r>
        <w:t>Перед</w:t>
      </w:r>
      <w:r>
        <w:t xml:space="preserve"> нападением на СССР и в первые месяцы войны нацистское руководство издало ряд преступных приказов, которые выводили «восточную кампанию» из разряда «обычных» войн. К ним относится в первую очередь приказ «О применении военной подсудности в районе Барбаросс</w:t>
      </w:r>
      <w:r>
        <w:t>а и об особых мерах войск»</w:t>
      </w:r>
      <w:r>
        <w:rPr>
          <w:rStyle w:val="a3"/>
        </w:rPr>
        <w:footnoteReference w:id="19"/>
      </w:r>
      <w:r>
        <w:t xml:space="preserve">. Как отмечалось в документе, за действия, совершенные личным составом вермахта и обслуживающим персоналом в отношении вражеских </w:t>
      </w:r>
      <w:r>
        <w:lastRenderedPageBreak/>
        <w:t>гражданских лиц, не будет обязательного преследования даже в тех случаях, когда эти действия являют</w:t>
      </w:r>
      <w:r>
        <w:t xml:space="preserve">ся военным преступлением или проступком. </w:t>
      </w:r>
    </w:p>
    <w:p w14:paraId="1FAF429F" w14:textId="77777777" w:rsidR="00123BF0" w:rsidRDefault="008422E6">
      <w:pPr>
        <w:spacing w:line="360" w:lineRule="auto"/>
        <w:ind w:firstLine="709"/>
      </w:pPr>
      <w:r>
        <w:t xml:space="preserve">Уничтожение населенных пунктов происходило зачастую со всем населением. </w:t>
      </w:r>
      <w:r>
        <w:t>При этом</w:t>
      </w:r>
      <w:r>
        <w:t xml:space="preserve"> 14-летние подростки расценивались захватчиками как взрослые мужчины и также подлежали уничтожению. </w:t>
      </w:r>
    </w:p>
    <w:p w14:paraId="219B92B3" w14:textId="77777777" w:rsidR="00123BF0" w:rsidRDefault="008422E6">
      <w:pPr>
        <w:spacing w:line="360" w:lineRule="auto"/>
        <w:ind w:firstLine="709"/>
      </w:pPr>
      <w:r>
        <w:t>Жестокость не знала пределов. Так</w:t>
      </w:r>
      <w:r>
        <w:t>, в ходе карательной операции за уничтожение 2-х нацистских солдат в брянской деревне Хацунь нацистскими зверьми 25 октября 1941 г. были расстреляны 318 жителей, включая 60 детей в возрасте от 2-х лет</w:t>
      </w:r>
      <w:r>
        <w:rPr>
          <w:rStyle w:val="a3"/>
        </w:rPr>
        <w:footnoteReference w:id="20"/>
      </w:r>
      <w:r>
        <w:t xml:space="preserve">. </w:t>
      </w:r>
    </w:p>
    <w:p w14:paraId="685794B2" w14:textId="77777777" w:rsidR="00123BF0" w:rsidRDefault="008422E6">
      <w:pPr>
        <w:spacing w:line="360" w:lineRule="auto"/>
        <w:ind w:firstLine="709"/>
      </w:pPr>
      <w:r>
        <w:t>В Ростове-на-Дону местом массовых расстрелов советс</w:t>
      </w:r>
      <w:r>
        <w:t>ких граждан и военнопленных во время нацистской оккупации стала Змиёвская балка. В августе 1942 г. немецкими оккупантами здесь было убито не менее 27 тыс. человек</w:t>
      </w:r>
      <w:r>
        <w:rPr>
          <w:rStyle w:val="a3"/>
        </w:rPr>
        <w:footnoteReference w:id="21"/>
      </w:r>
      <w:r>
        <w:t xml:space="preserve">. </w:t>
      </w:r>
    </w:p>
    <w:p w14:paraId="02F06F4C" w14:textId="77777777" w:rsidR="00123BF0" w:rsidRDefault="008422E6">
      <w:pPr>
        <w:spacing w:line="360" w:lineRule="auto"/>
        <w:ind w:firstLine="709"/>
      </w:pPr>
      <w:r>
        <w:t>Карательные операции, которые совершались совместно вермахтом, войсками его стран-союзниц</w:t>
      </w:r>
      <w:r>
        <w:t xml:space="preserve"> и эсэсовскими (в том числе полицейскими) формированиями, однозначно доказывают намерение оккупантов проводить геноцид советского народа и разоблачают любые мифы о непричастности (в том числе, миф о «чистом вермахте»).</w:t>
      </w:r>
    </w:p>
    <w:p w14:paraId="5CEA6909" w14:textId="77777777" w:rsidR="00123BF0" w:rsidRDefault="00123BF0">
      <w:pPr>
        <w:spacing w:line="360" w:lineRule="auto"/>
        <w:ind w:firstLine="709"/>
      </w:pPr>
    </w:p>
    <w:p w14:paraId="27CC617B" w14:textId="3EF3AFC8" w:rsidR="00123BF0" w:rsidRDefault="008422E6">
      <w:pPr>
        <w:spacing w:line="360" w:lineRule="auto"/>
        <w:ind w:firstLine="709"/>
        <w:rPr>
          <w:b/>
          <w:bCs/>
        </w:rPr>
      </w:pPr>
      <w:bookmarkStart w:id="12" w:name="_Toc226012853"/>
      <w:r>
        <w:rPr>
          <w:b/>
          <w:bCs/>
        </w:rPr>
        <w:t>Слайд 1</w:t>
      </w:r>
      <w:r w:rsidR="00123C4A">
        <w:rPr>
          <w:b/>
          <w:bCs/>
        </w:rPr>
        <w:t>2</w:t>
      </w:r>
      <w:r>
        <w:rPr>
          <w:b/>
          <w:bCs/>
        </w:rPr>
        <w:t>. Создание условий, несовмес</w:t>
      </w:r>
      <w:r>
        <w:rPr>
          <w:b/>
          <w:bCs/>
        </w:rPr>
        <w:t>тимых с жизнью</w:t>
      </w:r>
      <w:bookmarkEnd w:id="12"/>
    </w:p>
    <w:p w14:paraId="66C462AE" w14:textId="77777777" w:rsidR="00123BF0" w:rsidRDefault="008422E6">
      <w:pPr>
        <w:spacing w:line="360" w:lineRule="auto"/>
        <w:ind w:firstLine="709"/>
      </w:pPr>
      <w:r>
        <w:t>Жертвами «плана голода» Герберта Бакке стало городское население оккупированных нацистами территорий. В отчете нацистского министерства по делам оккупированных восточных территорий рисовалась ужасающая картина: «Продовольственные нормы &lt;…&gt; н</w:t>
      </w:r>
      <w:r>
        <w:t xml:space="preserve">астолько скудны, что их недостаточно для того, чтобы обеспечить их существование, они дают только минимальное пропитание на ограниченное время. Население не знает — будет ли оно жить дальше. Оно находится под угрозой голодной смерти. Дороги забиты сотнями </w:t>
      </w:r>
      <w:r>
        <w:t>тысяч людей, бродящих в поиске пропитания»</w:t>
      </w:r>
      <w:r>
        <w:rPr>
          <w:rStyle w:val="a3"/>
        </w:rPr>
        <w:footnoteReference w:id="22"/>
      </w:r>
      <w:r>
        <w:t>.</w:t>
      </w:r>
    </w:p>
    <w:p w14:paraId="170A937E" w14:textId="77777777" w:rsidR="00123BF0" w:rsidRDefault="008422E6">
      <w:pPr>
        <w:spacing w:line="360" w:lineRule="auto"/>
        <w:ind w:firstLine="709"/>
        <w:rPr>
          <w:color w:val="000000" w:themeColor="text1"/>
        </w:rPr>
      </w:pPr>
      <w:r>
        <w:lastRenderedPageBreak/>
        <w:t>Помимо прямого и непосредственного убийства в ходе карательных операций, захватчики покрыли всю оккупированную советскую территорию густой сетью мест принудительного содержания советских граждан. К сегодняшнему</w:t>
      </w:r>
      <w:r>
        <w:t xml:space="preserve"> дню установлен</w:t>
      </w:r>
      <w:r>
        <w:rPr>
          <w:color w:val="000000" w:themeColor="text1"/>
        </w:rPr>
        <w:t>о 528 таких мест на территории современной Российской Федерации</w:t>
      </w:r>
      <w:r>
        <w:rPr>
          <w:rStyle w:val="a3"/>
          <w:color w:val="000000" w:themeColor="text1"/>
        </w:rPr>
        <w:footnoteReference w:id="23"/>
      </w:r>
      <w:r>
        <w:rPr>
          <w:color w:val="000000" w:themeColor="text1"/>
        </w:rPr>
        <w:t>.</w:t>
      </w:r>
    </w:p>
    <w:p w14:paraId="0BC8F9EE" w14:textId="77777777" w:rsidR="00123BF0" w:rsidRDefault="008422E6">
      <w:pPr>
        <w:spacing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Это были лагеря самых разных нацистских ведомств:</w:t>
      </w:r>
    </w:p>
    <w:p w14:paraId="3828D8EF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концлагеря системы вермахта;</w:t>
      </w:r>
    </w:p>
    <w:p w14:paraId="12170884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места принудительного содержания репрессивно-полицейских органов оккупантов (тюрьмы, лагеря и п</w:t>
      </w:r>
      <w:r>
        <w:rPr>
          <w:color w:val="000000" w:themeColor="text1"/>
        </w:rPr>
        <w:t>рочее) полиции, контрразведывательных органов абвера и тайной полевой полиции (ГФП), в годы войны подчиненной гестапо;</w:t>
      </w:r>
    </w:p>
    <w:p w14:paraId="18AE7291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трудовые лагеря нацистской военно-строительной «Организации Тодта».</w:t>
      </w:r>
    </w:p>
    <w:p w14:paraId="776DEA82" w14:textId="77777777" w:rsidR="00123BF0" w:rsidRDefault="00123BF0">
      <w:pPr>
        <w:spacing w:line="360" w:lineRule="auto"/>
        <w:ind w:firstLine="0"/>
        <w:rPr>
          <w:color w:val="000000" w:themeColor="text1"/>
        </w:rPr>
      </w:pPr>
    </w:p>
    <w:p w14:paraId="4ECA6228" w14:textId="3AD1D147" w:rsidR="00123BF0" w:rsidRDefault="008422E6">
      <w:pPr>
        <w:spacing w:line="360" w:lineRule="auto"/>
        <w:ind w:firstLine="709"/>
        <w:rPr>
          <w:b/>
          <w:bCs/>
        </w:rPr>
      </w:pPr>
      <w:bookmarkStart w:id="13" w:name="_Toc226012854"/>
      <w:r>
        <w:rPr>
          <w:b/>
          <w:bCs/>
        </w:rPr>
        <w:t>Слайд 1</w:t>
      </w:r>
      <w:r w:rsidR="00123C4A">
        <w:rPr>
          <w:b/>
          <w:bCs/>
        </w:rPr>
        <w:t>3</w:t>
      </w:r>
      <w:r>
        <w:rPr>
          <w:b/>
          <w:bCs/>
        </w:rPr>
        <w:t>. Культурный геноцид</w:t>
      </w:r>
      <w:bookmarkEnd w:id="13"/>
    </w:p>
    <w:p w14:paraId="452465C8" w14:textId="77777777" w:rsidR="00123BF0" w:rsidRDefault="008422E6">
      <w:pPr>
        <w:spacing w:line="360" w:lineRule="auto"/>
        <w:ind w:firstLine="709"/>
      </w:pPr>
      <w:r>
        <w:t>Нацисты относились к культуре через при</w:t>
      </w:r>
      <w:r>
        <w:t xml:space="preserve">зму своей расовой идеологии, колониальных и геноцидальных целей. В годы Великой Отечественной войны СССР боролся против физического и культурного геноцида, который проводили захватчики в отношении всех народов Советского Союза. </w:t>
      </w:r>
    </w:p>
    <w:p w14:paraId="20618DEA" w14:textId="77777777" w:rsidR="00123BF0" w:rsidRDefault="008422E6">
      <w:pPr>
        <w:spacing w:line="360" w:lineRule="auto"/>
        <w:ind w:firstLine="709"/>
      </w:pPr>
      <w:r>
        <w:t>«</w:t>
      </w:r>
      <w:r>
        <w:rPr>
          <w:i/>
          <w:iCs/>
        </w:rPr>
        <w:t xml:space="preserve">Идеально было бы </w:t>
      </w:r>
      <w:r>
        <w:rPr>
          <w:i/>
          <w:iCs/>
        </w:rPr>
        <w:t>научить их понимать лишь язык знаков и сигналов. По радио бы населению преподносилось то, что для него приемлемо: музыка без всяких ограничений. Но ни в коем случае нельзя допускать их к умственной работе. &lt;…&gt; в интересах управления покоренными народами на</w:t>
      </w:r>
      <w:r>
        <w:rPr>
          <w:i/>
          <w:iCs/>
        </w:rPr>
        <w:t xml:space="preserve"> востоке империи главным принципом должно быть &lt;…&gt; создание условий для того, чтобы держать население этих национальностей на возможно более низком культурном уровне</w:t>
      </w:r>
      <w:r>
        <w:t>»</w:t>
      </w:r>
      <w:r>
        <w:rPr>
          <w:rStyle w:val="a3"/>
        </w:rPr>
        <w:footnoteReference w:id="24"/>
      </w:r>
      <w:r>
        <w:t>, — заявлял Гитлер своему окружению 3 марта и 11 апреля 1942 г.</w:t>
      </w:r>
    </w:p>
    <w:p w14:paraId="598DFED5" w14:textId="77777777" w:rsidR="00123BF0" w:rsidRDefault="008422E6">
      <w:pPr>
        <w:spacing w:line="360" w:lineRule="auto"/>
        <w:ind w:firstLine="709"/>
      </w:pPr>
      <w:r>
        <w:lastRenderedPageBreak/>
        <w:t xml:space="preserve">Культурный геноцид — целенаправленное и систематическое уничтожение культурных ценностей определённой национальной или религиозной группы с целью лишить эту группу самобытности, подорвать её существование как уникального сообщества. </w:t>
      </w:r>
    </w:p>
    <w:p w14:paraId="37760D64" w14:textId="77777777" w:rsidR="00123BF0" w:rsidRDefault="008422E6">
      <w:pPr>
        <w:spacing w:line="360" w:lineRule="auto"/>
        <w:ind w:firstLine="709"/>
      </w:pPr>
      <w:r>
        <w:t xml:space="preserve">Памятники искусства и </w:t>
      </w:r>
      <w:r>
        <w:t>архитектуры, архивные документы воплощают историю, культуру и ценности народа. Их разрушение стирает материальные основы памяти о прошлых событиях, людях и достижениях, лишая общество связи с корнями. Сегодня мы можем однозначно говорить: уничтожение памят</w:t>
      </w:r>
      <w:r>
        <w:t>ников — политический акт, направленный на подавление или изменение исторической памяти, который используется для продвижения определенных идеологий, дискредитации исторических фигур или событий. Массовое уничтожение памятников, связанных с определённым нар</w:t>
      </w:r>
      <w:r>
        <w:t xml:space="preserve">одом, его культурой или историческим периодом, является актом культурного геноцида. </w:t>
      </w:r>
    </w:p>
    <w:p w14:paraId="46EC9144" w14:textId="77777777" w:rsidR="00123BF0" w:rsidRDefault="008422E6">
      <w:pPr>
        <w:spacing w:line="360" w:lineRule="auto"/>
        <w:ind w:firstLine="709"/>
      </w:pPr>
      <w:r>
        <w:t>В результате целенаправленного нацистского культурного геноцида Советский Союз понёс колоссальные потери:</w:t>
      </w:r>
    </w:p>
    <w:p w14:paraId="7C8DB2AB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</w:pPr>
      <w:r>
        <w:t>нацистами было уничтожено 173 музея на территории РСФСР;</w:t>
      </w:r>
      <w:r>
        <w:rPr>
          <w:rStyle w:val="a3"/>
        </w:rPr>
        <w:footnoteReference w:id="25"/>
      </w:r>
    </w:p>
    <w:p w14:paraId="630C4993" w14:textId="77777777" w:rsidR="00123BF0" w:rsidRDefault="008422E6">
      <w:pPr>
        <w:pStyle w:val="af7"/>
        <w:numPr>
          <w:ilvl w:val="0"/>
          <w:numId w:val="4"/>
        </w:numPr>
        <w:spacing w:line="360" w:lineRule="auto"/>
        <w:ind w:left="0" w:firstLine="709"/>
      </w:pPr>
      <w:r>
        <w:t>сожжен</w:t>
      </w:r>
      <w:r>
        <w:t>о:</w:t>
      </w:r>
    </w:p>
    <w:p w14:paraId="696F6531" w14:textId="77777777" w:rsidR="00123BF0" w:rsidRDefault="008422E6">
      <w:pPr>
        <w:pStyle w:val="af7"/>
        <w:spacing w:line="360" w:lineRule="auto"/>
        <w:ind w:left="709" w:firstLine="707"/>
      </w:pPr>
      <w:r>
        <w:t>- 115 000 000 печатных изданий из 4 000 библиотек;</w:t>
      </w:r>
    </w:p>
    <w:p w14:paraId="7189EC01" w14:textId="77777777" w:rsidR="00123BF0" w:rsidRDefault="008422E6">
      <w:pPr>
        <w:pStyle w:val="af7"/>
        <w:spacing w:line="360" w:lineRule="auto"/>
        <w:ind w:left="709" w:firstLine="707"/>
      </w:pPr>
      <w:r>
        <w:t>- 17 000 000 архивных дел.</w:t>
      </w:r>
    </w:p>
    <w:p w14:paraId="532FCF15" w14:textId="77777777" w:rsidR="00123BF0" w:rsidRDefault="008422E6">
      <w:pPr>
        <w:spacing w:line="360" w:lineRule="auto"/>
        <w:ind w:firstLine="709"/>
      </w:pPr>
      <w:r>
        <w:t>Уничтожая культурное наследие, нацисты стирали историческую память, чтобы уничтожить их национальное самосознание и сломить сопротивление захваченных народов.</w:t>
      </w:r>
    </w:p>
    <w:p w14:paraId="6C28480B" w14:textId="77777777" w:rsidR="00123BF0" w:rsidRDefault="00123BF0">
      <w:pPr>
        <w:spacing w:line="360" w:lineRule="auto"/>
        <w:ind w:firstLine="709"/>
        <w:rPr>
          <w:b/>
          <w:bCs/>
        </w:rPr>
      </w:pPr>
      <w:bookmarkStart w:id="14" w:name="_Toc225181752"/>
      <w:bookmarkStart w:id="15" w:name="_Toc226012855"/>
    </w:p>
    <w:p w14:paraId="6060D205" w14:textId="7096C4F1" w:rsidR="00123BF0" w:rsidRDefault="008422E6">
      <w:pPr>
        <w:spacing w:line="360" w:lineRule="auto"/>
        <w:ind w:firstLine="709"/>
        <w:rPr>
          <w:b/>
        </w:rPr>
      </w:pPr>
      <w:r>
        <w:rPr>
          <w:b/>
          <w:bCs/>
        </w:rPr>
        <w:t>Слайд 1</w:t>
      </w:r>
      <w:r w:rsidR="00123C4A">
        <w:rPr>
          <w:b/>
          <w:bCs/>
        </w:rPr>
        <w:t>4</w:t>
      </w:r>
      <w:r>
        <w:rPr>
          <w:b/>
          <w:bCs/>
        </w:rPr>
        <w:t xml:space="preserve">. </w:t>
      </w:r>
      <w:r>
        <w:rPr>
          <w:b/>
        </w:rPr>
        <w:t xml:space="preserve">Цена </w:t>
      </w:r>
      <w:r>
        <w:rPr>
          <w:b/>
        </w:rPr>
        <w:t>нацизма</w:t>
      </w:r>
      <w:r>
        <w:rPr>
          <w:rStyle w:val="a3"/>
          <w:b/>
        </w:rPr>
        <w:footnoteReference w:id="26"/>
      </w:r>
    </w:p>
    <w:p w14:paraId="7D65E5C0" w14:textId="77777777" w:rsidR="00123BF0" w:rsidRDefault="008422E6">
      <w:pPr>
        <w:spacing w:line="360" w:lineRule="auto"/>
        <w:ind w:firstLine="709"/>
        <w:rPr>
          <w:bCs/>
        </w:rPr>
      </w:pPr>
      <w:r>
        <w:rPr>
          <w:bCs/>
        </w:rPr>
        <w:t xml:space="preserve">Общие потери: 26,6 млн жителей Советского Союза погибли в годы Великой Отечественной войны. Нацистская Германия нарушила законы и обычаи </w:t>
      </w:r>
      <w:r>
        <w:rPr>
          <w:bCs/>
        </w:rPr>
        <w:lastRenderedPageBreak/>
        <w:t>войны. Нацисты целенаправленно убивали мирных жителей стран Восточной Европы, но особый акцент делался на сов</w:t>
      </w:r>
      <w:r>
        <w:rPr>
          <w:bCs/>
        </w:rPr>
        <w:t>етском населении, которое нацисты планировали радикально сократить, оставив немногих выживших – рабами немецких колонистов.  Потери мирного населения СССР в Великой Отечественной войне от действий нацистов и их пособников составляют более 13,</w:t>
      </w:r>
      <w:r>
        <w:rPr>
          <w:bCs/>
        </w:rPr>
        <w:t>6</w:t>
      </w:r>
      <w:r>
        <w:rPr>
          <w:bCs/>
        </w:rPr>
        <w:t xml:space="preserve"> млн человек</w:t>
      </w:r>
      <w:r>
        <w:rPr>
          <w:rStyle w:val="a3"/>
          <w:bCs/>
        </w:rPr>
        <w:footnoteReference w:id="27"/>
      </w:r>
      <w:r>
        <w:rPr>
          <w:bCs/>
        </w:rPr>
        <w:t>. Точные данные до сих пор уточняются.</w:t>
      </w:r>
    </w:p>
    <w:p w14:paraId="492BF215" w14:textId="77777777" w:rsidR="00123BF0" w:rsidRDefault="008422E6">
      <w:pPr>
        <w:spacing w:line="360" w:lineRule="auto"/>
        <w:ind w:firstLine="709"/>
        <w:rPr>
          <w:bCs/>
        </w:rPr>
      </w:pPr>
      <w:r>
        <w:rPr>
          <w:bCs/>
        </w:rPr>
        <w:t>Нацисты сознательно нарушали Женевскую конвенцию о содержании военнопленных, в отношении советских граждан. В 14 тыс. нацистских лагерей содержались более 5,2 млн советских военнопленных (погибло более 3,3 млн челове</w:t>
      </w:r>
      <w:r>
        <w:rPr>
          <w:bCs/>
        </w:rPr>
        <w:t>к).</w:t>
      </w:r>
    </w:p>
    <w:p w14:paraId="35F2E8DF" w14:textId="77777777" w:rsidR="00123BF0" w:rsidRDefault="008422E6">
      <w:pPr>
        <w:spacing w:line="360" w:lineRule="auto"/>
        <w:ind w:firstLine="709"/>
        <w:rPr>
          <w:bCs/>
        </w:rPr>
      </w:pPr>
      <w:r>
        <w:rPr>
          <w:bCs/>
        </w:rPr>
        <w:t xml:space="preserve">С оккупированных нацистами территорий Советского союза, в годы Великой Отечественной войны, было принудительно вывезено на территории Германии больше 5,2 млн </w:t>
      </w:r>
      <w:r>
        <w:rPr>
          <w:bCs/>
        </w:rPr>
        <w:t>советских людей</w:t>
      </w:r>
      <w:r>
        <w:rPr>
          <w:rStyle w:val="a3"/>
          <w:bCs/>
        </w:rPr>
        <w:footnoteReference w:id="28"/>
      </w:r>
      <w:r>
        <w:rPr>
          <w:bCs/>
        </w:rPr>
        <w:t>.</w:t>
      </w:r>
    </w:p>
    <w:p w14:paraId="42DC734D" w14:textId="77777777" w:rsidR="00123BF0" w:rsidRDefault="008422E6">
      <w:pPr>
        <w:spacing w:line="360" w:lineRule="auto"/>
        <w:ind w:firstLine="709"/>
        <w:rPr>
          <w:bCs/>
        </w:rPr>
      </w:pPr>
      <w:r>
        <w:rPr>
          <w:bCs/>
        </w:rPr>
        <w:t xml:space="preserve">Но враги не только угоняли в рабство людей. Нацисты хотели уничтожить саму </w:t>
      </w:r>
      <w:r>
        <w:rPr>
          <w:bCs/>
        </w:rPr>
        <w:t>культуру нашей страны. Они разграбили, уничтожили, сожгли 427 музеев, 1 670 церквей, 43 тысячи библиотек</w:t>
      </w:r>
      <w:r>
        <w:rPr>
          <w:rStyle w:val="a3"/>
          <w:bCs/>
        </w:rPr>
        <w:footnoteReference w:id="29"/>
      </w:r>
      <w:r>
        <w:rPr>
          <w:bCs/>
        </w:rPr>
        <w:t>.  Нацистами было украдено свыше одного 1 миллиона музейных экспонатов и сожжены миллионы книг.</w:t>
      </w:r>
    </w:p>
    <w:p w14:paraId="1E4024F8" w14:textId="77777777" w:rsidR="00123BF0" w:rsidRDefault="008422E6">
      <w:pPr>
        <w:spacing w:line="360" w:lineRule="auto"/>
        <w:ind w:firstLine="709"/>
      </w:pPr>
      <w:r>
        <w:rPr>
          <w:bCs/>
        </w:rPr>
        <w:t xml:space="preserve">Сегодня общая стоимость ущерба, нанесённого нацистами </w:t>
      </w:r>
      <w:r>
        <w:rPr>
          <w:bCs/>
        </w:rPr>
        <w:t>СССР в годы Великой Отечественной войны, оценивается в 257 триллионов рублей</w:t>
      </w:r>
      <w:r>
        <w:rPr>
          <w:rStyle w:val="a3"/>
          <w:bCs/>
        </w:rPr>
        <w:footnoteReference w:id="30"/>
      </w:r>
      <w:r>
        <w:rPr>
          <w:bCs/>
        </w:rPr>
        <w:t xml:space="preserve">. </w:t>
      </w:r>
    </w:p>
    <w:p w14:paraId="1DD70953" w14:textId="77777777" w:rsidR="00123BF0" w:rsidRDefault="00123BF0">
      <w:pPr>
        <w:spacing w:line="360" w:lineRule="auto"/>
        <w:ind w:firstLine="0"/>
      </w:pPr>
    </w:p>
    <w:p w14:paraId="5D8D76B7" w14:textId="32EB1E55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Слайд 1</w:t>
      </w:r>
      <w:r w:rsidR="00123C4A">
        <w:rPr>
          <w:b/>
          <w:bCs/>
        </w:rPr>
        <w:t>5</w:t>
      </w:r>
      <w:r>
        <w:rPr>
          <w:b/>
          <w:bCs/>
        </w:rPr>
        <w:t>. Осудить нацизм</w:t>
      </w:r>
      <w:bookmarkEnd w:id="14"/>
      <w:bookmarkEnd w:id="15"/>
    </w:p>
    <w:p w14:paraId="171021DA" w14:textId="77777777" w:rsidR="00123BF0" w:rsidRDefault="008422E6">
      <w:pPr>
        <w:spacing w:line="360" w:lineRule="auto"/>
        <w:ind w:firstLine="709"/>
      </w:pPr>
      <w:r>
        <w:t xml:space="preserve">Преступления нацистов и их пособников сформировали у советского общества запрос на историческую справедливость и неприятие нацизма. </w:t>
      </w:r>
    </w:p>
    <w:p w14:paraId="60EF53BA" w14:textId="77777777" w:rsidR="00123BF0" w:rsidRDefault="008422E6">
      <w:pPr>
        <w:spacing w:line="360" w:lineRule="auto"/>
        <w:ind w:firstLine="709"/>
      </w:pPr>
      <w:r>
        <w:t>2 ноября 1942 года была создана Чрезвычайная государственная комиссия по установлению и расследованию злодеяний немецко-фаш</w:t>
      </w:r>
      <w:r>
        <w:t xml:space="preserve">истских захватчиков и их сообщников и причиненного ими ущерба гражданам, колхозам, </w:t>
      </w:r>
      <w:r>
        <w:lastRenderedPageBreak/>
        <w:t xml:space="preserve">общественным организациям, государственным предприятиям и учреждениям СССР (ЧГК). </w:t>
      </w:r>
    </w:p>
    <w:p w14:paraId="586BF4DD" w14:textId="77777777" w:rsidR="00123BF0" w:rsidRDefault="008422E6">
      <w:pPr>
        <w:spacing w:line="360" w:lineRule="auto"/>
        <w:ind w:firstLine="709"/>
      </w:pPr>
      <w:r>
        <w:t>Во всех регионах страны, бывших под оккупацией, также были созданы комиссии по расследован</w:t>
      </w:r>
      <w:r>
        <w:t xml:space="preserve">ию злодеяний, передававшие свои материалы в ЧГК. </w:t>
      </w:r>
    </w:p>
    <w:p w14:paraId="409DAA83" w14:textId="77777777" w:rsidR="00123BF0" w:rsidRDefault="008422E6">
      <w:pPr>
        <w:spacing w:line="360" w:lineRule="auto"/>
        <w:ind w:firstLine="709"/>
      </w:pPr>
      <w:r>
        <w:t xml:space="preserve">Итогом работы ЧГК и региональных комиссий стали: </w:t>
      </w:r>
    </w:p>
    <w:p w14:paraId="7BA33077" w14:textId="77777777" w:rsidR="00123BF0" w:rsidRDefault="008422E6">
      <w:pPr>
        <w:pStyle w:val="af7"/>
        <w:numPr>
          <w:ilvl w:val="0"/>
          <w:numId w:val="5"/>
        </w:numPr>
        <w:spacing w:line="360" w:lineRule="auto"/>
        <w:ind w:left="0" w:firstLine="709"/>
      </w:pPr>
      <w:r>
        <w:t xml:space="preserve">250 000 свидетельств о преступлениях нацистов; </w:t>
      </w:r>
    </w:p>
    <w:p w14:paraId="3E872D02" w14:textId="77777777" w:rsidR="00123BF0" w:rsidRDefault="008422E6">
      <w:pPr>
        <w:pStyle w:val="af7"/>
        <w:numPr>
          <w:ilvl w:val="0"/>
          <w:numId w:val="5"/>
        </w:numPr>
        <w:spacing w:line="360" w:lineRule="auto"/>
        <w:ind w:left="0" w:firstLine="709"/>
      </w:pPr>
      <w:r>
        <w:t>54 784 акта о злодеяниях захватчиков.</w:t>
      </w:r>
    </w:p>
    <w:p w14:paraId="62D66F3B" w14:textId="77777777" w:rsidR="00123BF0" w:rsidRDefault="008422E6">
      <w:pPr>
        <w:spacing w:line="360" w:lineRule="auto"/>
        <w:ind w:firstLine="709"/>
      </w:pPr>
      <w:r>
        <w:t xml:space="preserve">Были установлены имена 30 663 преступников. </w:t>
      </w:r>
    </w:p>
    <w:p w14:paraId="57760B8A" w14:textId="77777777" w:rsidR="00123BF0" w:rsidRDefault="008422E6">
      <w:pPr>
        <w:spacing w:line="360" w:lineRule="auto"/>
        <w:ind w:firstLine="709"/>
      </w:pPr>
      <w:r>
        <w:t>Во время Великой Отечеств</w:t>
      </w:r>
      <w:r>
        <w:t>енной войны были опубликованы 27 брошюр «Сообщений Чрезвычайной государственной комиссии». Эти документальные свидетельства стали доказательной базой для судебного преследования нацистов и их пособников на территории Советского Союза, а также использовалис</w:t>
      </w:r>
      <w:r>
        <w:t xml:space="preserve">ь в ходе Нюрнбергского процесса. </w:t>
      </w:r>
    </w:p>
    <w:p w14:paraId="66A5968E" w14:textId="77777777" w:rsidR="00123BF0" w:rsidRDefault="008422E6">
      <w:pPr>
        <w:spacing w:line="360" w:lineRule="auto"/>
        <w:ind w:firstLine="709"/>
      </w:pPr>
      <w:r>
        <w:t>Работа над установлением и фиксацией фактов преступлений захватчиков и их пособников носила всенародный характер. Первые суды над нацистами и их пособниками состоялись уже в 1943 году</w:t>
      </w:r>
      <w:r>
        <w:rPr>
          <w:rStyle w:val="a3"/>
        </w:rPr>
        <w:footnoteReference w:id="31"/>
      </w:r>
      <w:r>
        <w:t xml:space="preserve"> в Краснодаре, Краснодоне и Харькове.</w:t>
      </w:r>
      <w:r>
        <w:t xml:space="preserve"> Советский Союз также был инициатором международного осуждения идеологии и преступлений нацизма. Уже в ноте наркома иностранных дел В.М. Молотова от 27 апреля 1942 г. содержалось квалифицированное обобщение преступлений захватчиков:</w:t>
      </w:r>
    </w:p>
    <w:p w14:paraId="798DB53A" w14:textId="77777777" w:rsidR="00123BF0" w:rsidRDefault="008422E6">
      <w:pPr>
        <w:pStyle w:val="af7"/>
        <w:numPr>
          <w:ilvl w:val="1"/>
          <w:numId w:val="6"/>
        </w:numPr>
        <w:spacing w:line="360" w:lineRule="auto"/>
        <w:ind w:left="0" w:firstLine="709"/>
      </w:pPr>
      <w:r>
        <w:t xml:space="preserve">всеобщее </w:t>
      </w:r>
      <w:r>
        <w:t>ограбление советского населения, полное разрушение городов и деревень;</w:t>
      </w:r>
    </w:p>
    <w:p w14:paraId="4C6E64A3" w14:textId="77777777" w:rsidR="00123BF0" w:rsidRDefault="008422E6">
      <w:pPr>
        <w:pStyle w:val="af7"/>
        <w:numPr>
          <w:ilvl w:val="1"/>
          <w:numId w:val="6"/>
        </w:numPr>
        <w:spacing w:line="360" w:lineRule="auto"/>
        <w:ind w:left="0" w:firstLine="709"/>
      </w:pPr>
      <w:r>
        <w:t>захват земли и насаждение рабско-крепостнического труда и кабалы;</w:t>
      </w:r>
    </w:p>
    <w:p w14:paraId="421790B7" w14:textId="77777777" w:rsidR="00123BF0" w:rsidRDefault="008422E6">
      <w:pPr>
        <w:pStyle w:val="af7"/>
        <w:numPr>
          <w:ilvl w:val="1"/>
          <w:numId w:val="6"/>
        </w:numPr>
        <w:spacing w:line="360" w:lineRule="auto"/>
        <w:ind w:left="0" w:firstLine="709"/>
      </w:pPr>
      <w:r>
        <w:t>насильственный увод в Германию на принудительные работы;</w:t>
      </w:r>
    </w:p>
    <w:p w14:paraId="1D178B9B" w14:textId="77777777" w:rsidR="00123BF0" w:rsidRDefault="008422E6">
      <w:pPr>
        <w:pStyle w:val="af7"/>
        <w:numPr>
          <w:ilvl w:val="1"/>
          <w:numId w:val="6"/>
        </w:numPr>
        <w:spacing w:line="360" w:lineRule="auto"/>
        <w:ind w:left="0" w:firstLine="709"/>
      </w:pPr>
      <w:r>
        <w:t>ликвидация культуры народов Советского Союза;</w:t>
      </w:r>
    </w:p>
    <w:p w14:paraId="2B538BF5" w14:textId="77777777" w:rsidR="00123BF0" w:rsidRDefault="008422E6">
      <w:pPr>
        <w:pStyle w:val="af7"/>
        <w:numPr>
          <w:ilvl w:val="1"/>
          <w:numId w:val="6"/>
        </w:numPr>
        <w:spacing w:line="360" w:lineRule="auto"/>
        <w:ind w:left="0" w:firstLine="709"/>
      </w:pPr>
      <w:r>
        <w:t>истребление сове</w:t>
      </w:r>
      <w:r>
        <w:t>тского населения, военнопленных и партизан.</w:t>
      </w:r>
    </w:p>
    <w:p w14:paraId="3F2CF6E4" w14:textId="77777777" w:rsidR="00123BF0" w:rsidRDefault="008422E6">
      <w:pPr>
        <w:spacing w:line="360" w:lineRule="auto"/>
        <w:ind w:firstLine="709"/>
      </w:pPr>
      <w:r>
        <w:lastRenderedPageBreak/>
        <w:t>В дальнейшем те же пункты найдут отражение в Конвенции о предупреждении преступления геноцида и наказании за него, принятой Генеральной Ассамблеей ООН в 1948 г. Аналогичное этому определение геноцида сегодня суще</w:t>
      </w:r>
      <w:r>
        <w:t>ствует в правовых системах многих стран мира (например, ст. 357 Уголовного кодекса Российской Федерации).</w:t>
      </w:r>
    </w:p>
    <w:p w14:paraId="3B086E35" w14:textId="77777777" w:rsidR="00123BF0" w:rsidRDefault="008422E6">
      <w:pPr>
        <w:spacing w:line="360" w:lineRule="auto"/>
        <w:ind w:firstLine="709"/>
      </w:pPr>
      <w:r>
        <w:t xml:space="preserve">В ходе работы Московской конференции министров иностранных дел, 1 ноября 1943 г. представители Советского Союза, Соединенных Штатов, Великобритании и </w:t>
      </w:r>
      <w:r>
        <w:t>Франции заявили о необходимости осуждения преступлений нацистов. Эта декларация осуждала зверства нацистов в оккупированной Европе.</w:t>
      </w:r>
    </w:p>
    <w:p w14:paraId="4D78B7E0" w14:textId="77777777" w:rsidR="00123BF0" w:rsidRDefault="008422E6">
      <w:pPr>
        <w:spacing w:line="360" w:lineRule="auto"/>
        <w:ind w:firstLine="709"/>
      </w:pPr>
      <w:r>
        <w:t>Именно Советский Союз настоял на проведении открытого суда над нацистским руководством. Требовалось доказать всему миру масш</w:t>
      </w:r>
      <w:r>
        <w:t>таб и тяжесть преступлений нацистов.</w:t>
      </w:r>
    </w:p>
    <w:p w14:paraId="2B32F74D" w14:textId="77777777" w:rsidR="00123BF0" w:rsidRDefault="008422E6">
      <w:pPr>
        <w:spacing w:line="360" w:lineRule="auto"/>
        <w:ind w:firstLine="709"/>
      </w:pPr>
      <w:r>
        <w:t xml:space="preserve">Международный военный трибунал над главными нацистскими преступниками — бывшими руководителями нацистской Германии — проходил во Дворце правосудия в городе Нюрнберге с 20 ноября 1945 г. </w:t>
      </w:r>
      <w:r>
        <w:br/>
        <w:t>по 1 октября 1946 г.</w:t>
      </w:r>
    </w:p>
    <w:p w14:paraId="5D46002A" w14:textId="77777777" w:rsidR="00123BF0" w:rsidRDefault="008422E6">
      <w:pPr>
        <w:spacing w:line="360" w:lineRule="auto"/>
        <w:ind w:firstLine="709"/>
      </w:pPr>
      <w:r>
        <w:t>Это был отк</w:t>
      </w:r>
      <w:r>
        <w:t>рытый, масштабный публичный судебный процесс, освещаемый в 31 стране. Перед судом предстали 24 обвиняемых — высшие руководители нацистского режима.</w:t>
      </w:r>
    </w:p>
    <w:p w14:paraId="61813820" w14:textId="77777777" w:rsidR="00123BF0" w:rsidRDefault="008422E6">
      <w:pPr>
        <w:spacing w:line="360" w:lineRule="auto"/>
        <w:ind w:firstLine="709"/>
      </w:pPr>
      <w:r>
        <w:t>Нюрнбергский процесс впервые закрепил в международном праве персональную ответственность за преступления про</w:t>
      </w:r>
      <w:r>
        <w:t>тив мира, военные преступления и преступления против человечности. Юридическая квалификация преступлений нацистов сформировала правовые основы осуждения нацизма. Опыт Нюрнбергского трибунала использовался в дальнейших судебных процессах над нацистскими пре</w:t>
      </w:r>
      <w:r>
        <w:t xml:space="preserve">ступниками. </w:t>
      </w:r>
    </w:p>
    <w:p w14:paraId="355320E8" w14:textId="77777777" w:rsidR="00123BF0" w:rsidRDefault="008422E6">
      <w:pPr>
        <w:spacing w:line="360" w:lineRule="auto"/>
        <w:ind w:firstLine="709"/>
      </w:pPr>
      <w:r>
        <w:t xml:space="preserve">Решения Международного военного трибунала в Нюрнберге стали юридической основой для важнейших международных конвенций: </w:t>
      </w:r>
    </w:p>
    <w:p w14:paraId="512232BB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t>Конвенция о предупреждении преступления геноцида и наказании за него 1948 г.,</w:t>
      </w:r>
    </w:p>
    <w:p w14:paraId="28011098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lastRenderedPageBreak/>
        <w:t>Всеобщая декларация прав человека 1948 г.;</w:t>
      </w:r>
    </w:p>
    <w:p w14:paraId="4BE656D5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t>Конвенция о неприменимости срока давности к военным преступлениям и преступлениям против человечности 1968 г.</w:t>
      </w:r>
    </w:p>
    <w:p w14:paraId="5E9E0B62" w14:textId="77777777" w:rsidR="00123BF0" w:rsidRDefault="00123BF0">
      <w:pPr>
        <w:spacing w:line="360" w:lineRule="auto"/>
        <w:ind w:firstLine="709"/>
      </w:pPr>
      <w:bookmarkStart w:id="16" w:name="_Toc226012856"/>
      <w:bookmarkStart w:id="17" w:name="_Toc225181753"/>
    </w:p>
    <w:p w14:paraId="70279EEB" w14:textId="3108558F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Слайд 1</w:t>
      </w:r>
      <w:r w:rsidR="00123C4A">
        <w:rPr>
          <w:b/>
          <w:bCs/>
        </w:rPr>
        <w:t>6</w:t>
      </w:r>
      <w:r>
        <w:rPr>
          <w:b/>
          <w:bCs/>
        </w:rPr>
        <w:t>. Историческая память о геноциде советского народа</w:t>
      </w:r>
      <w:bookmarkEnd w:id="16"/>
      <w:bookmarkEnd w:id="17"/>
    </w:p>
    <w:p w14:paraId="3B0881ED" w14:textId="77777777" w:rsidR="00123BF0" w:rsidRDefault="008422E6">
      <w:pPr>
        <w:spacing w:line="360" w:lineRule="auto"/>
        <w:ind w:firstLine="709"/>
      </w:pPr>
      <w:r>
        <w:t>Сегодня Россия хранит преемственность неприятию нацизма</w:t>
      </w:r>
      <w:r>
        <w:rPr>
          <w:rStyle w:val="a3"/>
        </w:rPr>
        <w:footnoteReference w:id="32"/>
      </w:r>
      <w:r>
        <w:t>. С 2005 года Россия ежегодно</w:t>
      </w:r>
      <w:r>
        <w:t xml:space="preserve"> выносит на голосование Генассамблеи ООН резолюцию о борьбе с героизацией нацизма и неонацизма.</w:t>
      </w:r>
    </w:p>
    <w:p w14:paraId="506D31F2" w14:textId="77777777" w:rsidR="00123BF0" w:rsidRDefault="008422E6">
      <w:pPr>
        <w:spacing w:line="360" w:lineRule="auto"/>
        <w:ind w:firstLine="709"/>
      </w:pPr>
      <w:r>
        <w:t>В 2020–2025 годах в 34 субъектах Российской Федерации прошли судебные процессы, на которых преступления нацистов и их пособников были признаны геноцидом советск</w:t>
      </w:r>
      <w:r>
        <w:t>ого народа. На них было названо уточненное количество жертв нацистского геноцида советского народа — 8 167 959 человек.</w:t>
      </w:r>
    </w:p>
    <w:p w14:paraId="0821EA62" w14:textId="77777777" w:rsidR="00123BF0" w:rsidRDefault="008422E6">
      <w:pPr>
        <w:spacing w:line="360" w:lineRule="auto"/>
        <w:ind w:firstLine="709"/>
      </w:pPr>
      <w:r>
        <w:t>Продолжением этих судебных процессов стал Федеральный закон «Об увековечении памяти жертв геноцида советского народа в период Великой От</w:t>
      </w:r>
      <w:r>
        <w:t>ечественной войны 1941–1945 годов» № 74-ФЗ, принятый 21 апреля 2025 г.</w:t>
      </w:r>
    </w:p>
    <w:p w14:paraId="1829606F" w14:textId="77777777" w:rsidR="00123BF0" w:rsidRDefault="008422E6">
      <w:pPr>
        <w:spacing w:line="360" w:lineRule="auto"/>
        <w:ind w:firstLine="709"/>
      </w:pPr>
      <w:r>
        <w:t xml:space="preserve">Закон: </w:t>
      </w:r>
    </w:p>
    <w:p w14:paraId="066549F6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t>определил основные формы увековечения памяти жертв нацистов;</w:t>
      </w:r>
    </w:p>
    <w:p w14:paraId="76D3085A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t>установил государственный учёт, охрану и благоустройство мест захоронений;</w:t>
      </w:r>
    </w:p>
    <w:p w14:paraId="18F4686C" w14:textId="77777777" w:rsidR="00123BF0" w:rsidRDefault="008422E6">
      <w:pPr>
        <w:pStyle w:val="af7"/>
        <w:numPr>
          <w:ilvl w:val="0"/>
          <w:numId w:val="7"/>
        </w:numPr>
        <w:spacing w:line="360" w:lineRule="auto"/>
        <w:ind w:left="0" w:firstLine="709"/>
      </w:pPr>
      <w:r>
        <w:t>закрепил понятие геноцида советского наро</w:t>
      </w:r>
      <w:r>
        <w:t>да.</w:t>
      </w:r>
    </w:p>
    <w:p w14:paraId="7356B74C" w14:textId="77777777" w:rsidR="00123BF0" w:rsidRDefault="008422E6">
      <w:pPr>
        <w:spacing w:line="360" w:lineRule="auto"/>
        <w:ind w:firstLine="709"/>
      </w:pPr>
      <w:r>
        <w:t xml:space="preserve">Геноцид советского народа, доказанный в ходе судебных слушаний </w:t>
      </w:r>
      <w:r>
        <w:br/>
        <w:t>в 2020–2025 гг., сегодня закреплен как правовая норма. Это определение соответствует международной признанной трактовке термина «геноцид».</w:t>
      </w:r>
    </w:p>
    <w:p w14:paraId="60C2C410" w14:textId="77777777" w:rsidR="00123BF0" w:rsidRDefault="008422E6">
      <w:pPr>
        <w:spacing w:line="360" w:lineRule="auto"/>
        <w:ind w:firstLine="709"/>
      </w:pPr>
      <w:r>
        <w:t>В соответствии с Федеральным законом от 29 декабр</w:t>
      </w:r>
      <w:r>
        <w:t xml:space="preserve">я 2025 г. № 523-ФЗ «О внесении изменений в статью 1.1 Федерального закона «О днях воинской славы и памятных датах России», 19 апреля установлено памятной датой России </w:t>
      </w:r>
      <w:r>
        <w:lastRenderedPageBreak/>
        <w:t>— Днем памяти жертв геноцида советского народа, совершенного нацистами и их пособниками в</w:t>
      </w:r>
      <w:r>
        <w:t xml:space="preserve"> годы Великой Отечественной войны.</w:t>
      </w:r>
    </w:p>
    <w:p w14:paraId="2AE8718E" w14:textId="77777777" w:rsidR="00123BF0" w:rsidRDefault="008422E6">
      <w:pPr>
        <w:spacing w:line="360" w:lineRule="auto"/>
        <w:ind w:firstLine="709"/>
      </w:pPr>
      <w:r>
        <w:t>Правительством Российской Федерации 27 января 2026 г. было принято Распоряжение № 104-р «Об осуществлении функции национального оператора по увековечению памяти жертв геноцида советского народа», согласно которому национа</w:t>
      </w:r>
      <w:r>
        <w:t>льным оператором по увековечению памяти жертв геноцида советского народа назначен Национальный центр исторической памяти при Президенте Российской Федерации. Им реализуется ряд инициатив, в том числе Национальный портал памяти «Геноцид советского народа на</w:t>
      </w:r>
      <w:r>
        <w:t>цистами и их пособниками в годы Великой Отечественной войны», проекты «Архивный десант»</w:t>
      </w:r>
      <w:r>
        <w:rPr>
          <w:rStyle w:val="a3"/>
        </w:rPr>
        <w:footnoteReference w:id="33"/>
      </w:r>
      <w:r>
        <w:t>, «Общественный дозор. Место памяти»</w:t>
      </w:r>
      <w:r>
        <w:rPr>
          <w:rStyle w:val="a3"/>
        </w:rPr>
        <w:footnoteReference w:id="34"/>
      </w:r>
      <w:r>
        <w:t xml:space="preserve"> и другие, направленные на установление и мемориализацию мест памяти геноцида советского народа в годы Великой Отечественной войн</w:t>
      </w:r>
      <w:r>
        <w:t>ы со стороны нацистов и их пособников. Память о жертвах геноцида советского народа объединяет разные регионы и разные поколения нашей страны на основе общего неприятия нацизма в любой форме и проявлении. Работа по сохранению памяти о жертвах геноцида совет</w:t>
      </w:r>
      <w:r>
        <w:t>ского народа со стороны нацистов и их пособников продолжается.</w:t>
      </w:r>
    </w:p>
    <w:p w14:paraId="325922F6" w14:textId="77777777" w:rsidR="00123BF0" w:rsidRDefault="00123BF0">
      <w:pPr>
        <w:spacing w:line="360" w:lineRule="auto"/>
        <w:ind w:firstLine="709"/>
      </w:pPr>
    </w:p>
    <w:p w14:paraId="209F110F" w14:textId="3F048751" w:rsidR="00123BF0" w:rsidRDefault="008422E6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Слайд 1</w:t>
      </w:r>
      <w:r w:rsidR="00123C4A">
        <w:rPr>
          <w:b/>
          <w:bCs/>
        </w:rPr>
        <w:t>7-20</w:t>
      </w:r>
      <w:r>
        <w:rPr>
          <w:b/>
          <w:bCs/>
        </w:rPr>
        <w:t>. Обратная связь</w:t>
      </w:r>
    </w:p>
    <w:p w14:paraId="115E3030" w14:textId="2BC7FBA4" w:rsidR="00123BF0" w:rsidRDefault="008422E6">
      <w:pPr>
        <w:pStyle w:val="af7"/>
        <w:spacing w:line="360" w:lineRule="auto"/>
        <w:ind w:left="0" w:firstLine="709"/>
      </w:pPr>
      <w:r>
        <w:t>Великая Отечественная война — это время, которое раскрыло всё величие духа советских людей на фронте и в тылу. Сегодня мы благодарны им за свободу, за саму жизнь. Мы б</w:t>
      </w:r>
      <w:r>
        <w:t xml:space="preserve">лагодарны, понимая, от какой угрозы они спасли нас. </w:t>
      </w:r>
    </w:p>
    <w:p w14:paraId="6E44ADFF" w14:textId="0BFC843A" w:rsidR="00123C4A" w:rsidRPr="00123C4A" w:rsidRDefault="00123C4A" w:rsidP="00123C4A">
      <w:pPr>
        <w:spacing w:line="360" w:lineRule="auto"/>
        <w:ind w:firstLine="709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bookmarkStart w:id="18" w:name="_heading=h.arlcsle2v5gd"/>
      <w:r>
        <w:rPr>
          <w:rFonts w:eastAsia="Times New Roman"/>
          <w:color w:val="000000"/>
          <w:kern w:val="0"/>
          <w:lang w:eastAsia="ru-RU"/>
          <w14:ligatures w14:val="none"/>
        </w:rPr>
        <w:t>Спасибо вам</w:t>
      </w:r>
      <w:r w:rsidRPr="00123C4A">
        <w:rPr>
          <w:rFonts w:eastAsia="Times New Roman"/>
          <w:color w:val="000000"/>
          <w:kern w:val="0"/>
          <w:lang w:eastAsia="ru-RU"/>
          <w14:ligatures w14:val="none"/>
        </w:rPr>
        <w:t xml:space="preserve"> за внимание — надеюсь, эта лекция вдохновит вас на дальнейшее изучение темы. Прошу вас оставить обратную связь ответив на вопросы</w:t>
      </w:r>
      <w:r>
        <w:rPr>
          <w:rFonts w:eastAsia="Times New Roman"/>
          <w:color w:val="000000"/>
          <w:kern w:val="0"/>
          <w:lang w:eastAsia="ru-RU"/>
          <w14:ligatures w14:val="none"/>
        </w:rPr>
        <w:t>,</w:t>
      </w:r>
      <w:r w:rsidRPr="00123C4A">
        <w:rPr>
          <w:rFonts w:eastAsia="Times New Roman"/>
          <w:color w:val="000000"/>
          <w:kern w:val="0"/>
          <w:lang w:eastAsia="ru-RU"/>
          <w14:ligatures w14:val="none"/>
        </w:rPr>
        <w:t xml:space="preserve"> которые видите на экранах своих смартфонов.</w:t>
      </w:r>
    </w:p>
    <w:bookmarkEnd w:id="18"/>
    <w:p w14:paraId="320D9034" w14:textId="426315B6" w:rsidR="00123C4A" w:rsidRDefault="00123C4A" w:rsidP="00123C4A">
      <w:pPr>
        <w:pStyle w:val="af7"/>
        <w:spacing w:line="360" w:lineRule="auto"/>
        <w:ind w:left="0" w:firstLine="709"/>
      </w:pPr>
    </w:p>
    <w:sectPr w:rsidR="00123C4A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07DD" w14:textId="77777777" w:rsidR="008422E6" w:rsidRDefault="008422E6">
      <w:r>
        <w:separator/>
      </w:r>
    </w:p>
  </w:endnote>
  <w:endnote w:type="continuationSeparator" w:id="0">
    <w:p w14:paraId="11228F67" w14:textId="77777777" w:rsidR="008422E6" w:rsidRDefault="0084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2830"/>
    </w:sdtPr>
    <w:sdtEndPr/>
    <w:sdtContent>
      <w:p w14:paraId="5CC10DA2" w14:textId="77777777" w:rsidR="00123BF0" w:rsidRDefault="008422E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44F7" w14:textId="77777777" w:rsidR="008422E6" w:rsidRDefault="008422E6">
      <w:r>
        <w:separator/>
      </w:r>
    </w:p>
  </w:footnote>
  <w:footnote w:type="continuationSeparator" w:id="0">
    <w:p w14:paraId="75548B2A" w14:textId="77777777" w:rsidR="008422E6" w:rsidRDefault="008422E6">
      <w:r>
        <w:continuationSeparator/>
      </w:r>
    </w:p>
  </w:footnote>
  <w:footnote w:id="1">
    <w:p w14:paraId="1E68116F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https://docs.historyrussia.org/ru/nodes/241166-direktiva-gitlera-locale-nil-21-o-napadenii-na-sovetskiy-soyuz-plan-locale-nil-barbarossa-locale-nil-18-dekabrya-1940-g</w:t>
      </w:r>
    </w:p>
  </w:footnote>
  <w:footnote w:id="2">
    <w:p w14:paraId="19719F5A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https://docs.historyrussia.org/ru/nodes/51661</w:t>
      </w:r>
    </w:p>
  </w:footnote>
  <w:footnote w:id="3">
    <w:p w14:paraId="36FAF2DF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https://russiancip.ru/announcements/se</w:t>
      </w:r>
      <w:r>
        <w:t>minar-obespechenie-zashchity-istoricheskoy-pravdy/</w:t>
      </w:r>
    </w:p>
  </w:footnote>
  <w:footnote w:id="4">
    <w:p w14:paraId="5444312C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https://эг.безсрокадавности.рф/article/41644081</w:t>
      </w:r>
    </w:p>
  </w:footnote>
  <w:footnote w:id="5">
    <w:p w14:paraId="571F4EDB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t>https://history.ru/read/articles/vstupitelnaya-statya</w:t>
      </w:r>
    </w:p>
  </w:footnote>
  <w:footnote w:id="6">
    <w:p w14:paraId="67211AA5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https://army.ric.mil.ru/Stati/item/377540/</w:t>
      </w:r>
    </w:p>
  </w:footnote>
  <w:footnote w:id="7">
    <w:p w14:paraId="7C082C24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Согласно Федеральному закону от 21 апреля 2025 г. № </w:t>
      </w:r>
      <w:r>
        <w:t>74-ФЗ «Об увековечении памяти жертв геноцида советского народа в период Великой Отечественной войны 1941–1945 годов».</w:t>
      </w:r>
    </w:p>
  </w:footnote>
  <w:footnote w:id="8">
    <w:p w14:paraId="6092591D" w14:textId="77777777" w:rsidR="00123BF0" w:rsidRDefault="008422E6">
      <w:pPr>
        <w:pStyle w:val="aa"/>
      </w:pPr>
      <w:r>
        <w:rPr>
          <w:rStyle w:val="a3"/>
        </w:rPr>
        <w:footnoteRef/>
      </w:r>
      <w:r>
        <w:rPr>
          <w:lang w:val="de-DE"/>
        </w:rPr>
        <w:t xml:space="preserve"> Bundesarchiv. R 49/2490. S</w:t>
      </w:r>
      <w:r>
        <w:t>. 57, 87, 109. (перевод приводится по материалам сайта https://scepsis.net/library/id_703.html).</w:t>
      </w:r>
    </w:p>
  </w:footnote>
  <w:footnote w:id="9">
    <w:p w14:paraId="69718712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https://ria</w:t>
      </w:r>
      <w:r>
        <w:t>.ru/20191007/1559490596.html</w:t>
      </w:r>
    </w:p>
  </w:footnote>
  <w:footnote w:id="10">
    <w:p w14:paraId="4357C010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https://docs.historyrussia.org/ru/nodes/369954-akt-o-prestupleniyah-nemetsko-fashistskih-okkupantov-v-otnoshenii-vospitannikov-anoshenskogo-detskogo-doma-buhanovskogo-selskogo-soveta-vyazemskogo-rayona-6-avgusta-1943-g#mode/i</w:t>
      </w:r>
      <w:r>
        <w:t>nspect/page/1/zoom/4</w:t>
      </w:r>
    </w:p>
  </w:footnote>
  <w:footnote w:id="11">
    <w:p w14:paraId="18700FB0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https://docs.historyrussia.org/ru/nodes/166423#mode/inspect/page/20/zoom/4</w:t>
      </w:r>
    </w:p>
  </w:footnote>
  <w:footnote w:id="12">
    <w:p w14:paraId="1E169FAB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</w:t>
      </w:r>
      <w:hyperlink r:id="rId1" w:history="1">
        <w:r>
          <w:rPr>
            <w:rStyle w:val="a5"/>
            <w:color w:val="auto"/>
            <w:u w:val="none"/>
          </w:rPr>
          <w:t>https://nuremberg.media/mesto/20201119/16200/Genotsid-sovetskikh-grazhdan.html</w:t>
        </w:r>
      </w:hyperlink>
      <w:r>
        <w:t xml:space="preserve"> (данные приводятся по Кривошеев Г. Ф., Андроников В. М., Буриков П. Д., Гуркин В. </w:t>
      </w:r>
      <w:r>
        <w:t>В. Великая Отечественная без грифа секретности: Книга потерь. — М.: Вече, 2009. С. 46)</w:t>
      </w:r>
    </w:p>
  </w:footnote>
  <w:footnote w:id="13">
    <w:p w14:paraId="64F81698" w14:textId="77777777" w:rsidR="00123BF0" w:rsidRDefault="008422E6">
      <w:pPr>
        <w:pStyle w:val="aa"/>
      </w:pPr>
      <w:r>
        <w:rPr>
          <w:rStyle w:val="a3"/>
        </w:rPr>
        <w:footnoteRef/>
      </w:r>
      <w:r>
        <w:rPr>
          <w:color w:val="000000"/>
        </w:rPr>
        <w:t> «Остарбайтеры» — определение, принятое в Третьем рейхе для обозначения людей, вывезенных из Восточной Европы в целях использования в качестве бесплатной или низкооплач</w:t>
      </w:r>
      <w:r>
        <w:rPr>
          <w:color w:val="000000"/>
        </w:rPr>
        <w:t>иваемой рабочей силы (1942—1944 гг.)</w:t>
      </w:r>
    </w:p>
  </w:footnote>
  <w:footnote w:id="14">
    <w:p w14:paraId="1C87BD42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https://victims.rusarchives.ru/iz-rechi-reykhsfyurera-ss-g-gimmlera-v-berline-pered-rukovodyaschim-sostavom-ss-o-voyne-na-vostoke-9</w:t>
      </w:r>
    </w:p>
  </w:footnote>
  <w:footnote w:id="15">
    <w:p w14:paraId="1E744001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https://hrono.ru/biograf/bio_r/reineke.php</w:t>
      </w:r>
    </w:p>
  </w:footnote>
  <w:footnote w:id="16">
    <w:p w14:paraId="6CC83496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https://безсрокадавности.рф/peredvizhn</w:t>
      </w:r>
      <w:r>
        <w:t>uyu-vystavku-dulag-130-izuchili-shkolniki-v-roslavle/</w:t>
      </w:r>
    </w:p>
  </w:footnote>
  <w:footnote w:id="17">
    <w:p w14:paraId="5796509B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https://roslavl.ru/history/kraeved/roslavl/vov/st3-1.htm</w:t>
      </w:r>
    </w:p>
  </w:footnote>
  <w:footnote w:id="18">
    <w:p w14:paraId="3C9F3CBA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https://roslavl.ru/history/kraeved/roslavl/vov/st3-1.htm</w:t>
      </w:r>
    </w:p>
  </w:footnote>
  <w:footnote w:id="19">
    <w:p w14:paraId="43E96D0F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https://victims.rusarchives.ru/ukaz-verkhovnogo-glavnokomanduyuschego-vermakhta-o-</w:t>
      </w:r>
      <w:r>
        <w:t>voennoy-podsudnosti-v-rayone-barbarossa-i-ob</w:t>
      </w:r>
    </w:p>
  </w:footnote>
  <w:footnote w:id="20">
    <w:p w14:paraId="6D09A8D8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https://ria.ru/20130322/928519836.html, https://безсрокадавности.рф/</w:t>
      </w:r>
    </w:p>
  </w:footnote>
  <w:footnote w:id="21">
    <w:p w14:paraId="269F62DA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https://эг.безсрокадавности.рф/article/41650172</w:t>
      </w:r>
    </w:p>
  </w:footnote>
  <w:footnote w:id="22">
    <w:p w14:paraId="4BA00CC0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https://viewer.rusneb.ru/ru/000199_000009_005626953?page=149&amp;rotate=0&amp;theme=white</w:t>
      </w:r>
    </w:p>
  </w:footnote>
  <w:footnote w:id="23">
    <w:p w14:paraId="56160D7F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</w:t>
      </w:r>
      <w:r>
        <w:t>s://viro35.ru/wp-content/uploads/2026/04/Приложение-Методические-рекомендации-19-апреля-2026.pdf-к-вх.-письмо-№01-209_26-от-27.03.2026-из-Н-1.pdf</w:t>
      </w:r>
    </w:p>
  </w:footnote>
  <w:footnote w:id="24">
    <w:p w14:paraId="2710A29F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https://scepsis.net/library/id_726.html</w:t>
      </w:r>
    </w:p>
  </w:footnote>
  <w:footnote w:id="25">
    <w:p w14:paraId="443B6D4D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https://cyberleninka.ru/article/n/deyatelnost-operativnogo-shtaba-a-rozenberga-po-vyvozu-kulturnyh-tsennostey-iz-sssr</w:t>
      </w:r>
    </w:p>
  </w:footnote>
  <w:footnote w:id="26">
    <w:p w14:paraId="36DCFE03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t>Количественная</w:t>
      </w:r>
      <w:r>
        <w:t xml:space="preserve"> информация в разделе, не имеющая отдельных ссылок, приведена по данным национального центра исторической памяти при през</w:t>
      </w:r>
      <w:r>
        <w:t>иденте Российской Федерации - https://russiancip.ru/</w:t>
      </w:r>
    </w:p>
  </w:footnote>
  <w:footnote w:id="27">
    <w:p w14:paraId="5709872A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t>https://цифрыпобеды.рф/pobeda_80.pdf</w:t>
      </w:r>
    </w:p>
  </w:footnote>
  <w:footnote w:id="28">
    <w:p w14:paraId="23933A70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rPr>
          <w:bCs/>
        </w:rPr>
        <w:t>https://цифрыпобеды.рф/pobeda_80.pdf</w:t>
      </w:r>
    </w:p>
  </w:footnote>
  <w:footnote w:id="29">
    <w:p w14:paraId="6235AEE8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rPr>
          <w:bCs/>
        </w:rPr>
        <w:t xml:space="preserve"> https://may9.ru/history/europe-liberation/2737/</w:t>
      </w:r>
    </w:p>
  </w:footnote>
  <w:footnote w:id="30">
    <w:p w14:paraId="4083DA6A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rPr>
          <w:bCs/>
        </w:rPr>
        <w:t xml:space="preserve"> https://tass.ru/obschestvo/25880453</w:t>
      </w:r>
    </w:p>
  </w:footnote>
  <w:footnote w:id="31">
    <w:p w14:paraId="1D5EF013" w14:textId="77777777" w:rsidR="00123BF0" w:rsidRDefault="008422E6">
      <w:pPr>
        <w:pStyle w:val="aa"/>
      </w:pPr>
      <w:r>
        <w:rPr>
          <w:rStyle w:val="a3"/>
        </w:rPr>
        <w:footnoteRef/>
      </w:r>
      <w:r>
        <w:t xml:space="preserve"> https://безсрокадавности.рф/14-iy</w:t>
      </w:r>
      <w:r>
        <w:t>ulya-1943-v-krasnodare-nachalsya-pervyj-sudebnyj-proczess-nad-posobnikami-naczizma/</w:t>
      </w:r>
    </w:p>
  </w:footnote>
  <w:footnote w:id="32">
    <w:p w14:paraId="5E2CBB07" w14:textId="77777777" w:rsidR="00123BF0" w:rsidRDefault="008422E6">
      <w:pPr>
        <w:pStyle w:val="aa"/>
      </w:pPr>
      <w:r>
        <w:rPr>
          <w:rStyle w:val="a3"/>
        </w:rPr>
        <w:footnoteRef/>
      </w:r>
      <w:r>
        <w:t>https://patriot.nso.ru/sites/patriot.nso.ru/wodby_files/files/document/2026/04/documents/metodicheskie_rekomendacii_19_aprelya.pdf</w:t>
      </w:r>
    </w:p>
  </w:footnote>
  <w:footnote w:id="33">
    <w:p w14:paraId="750FE93C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t>https://russiancip.ru/nauchno-prosveti</w:t>
      </w:r>
      <w:r>
        <w:t>telskij-proekt-dostupnyj-arhiv/arhivnyj-desant/</w:t>
      </w:r>
    </w:p>
  </w:footnote>
  <w:footnote w:id="34">
    <w:p w14:paraId="7E73A000" w14:textId="77777777" w:rsidR="00123BF0" w:rsidRDefault="008422E6">
      <w:pPr>
        <w:pStyle w:val="aa"/>
        <w:snapToGrid w:val="0"/>
      </w:pPr>
      <w:r>
        <w:rPr>
          <w:rStyle w:val="a3"/>
        </w:rPr>
        <w:footnoteRef/>
      </w:r>
      <w:r>
        <w:t xml:space="preserve"> </w:t>
      </w:r>
      <w:r>
        <w:t>https://russiancip.ru/materials/obshchestvennyy-dozor-mesto-pamyati/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A85C" w14:textId="77777777" w:rsidR="00123BF0" w:rsidRDefault="008422E6">
    <w:pPr>
      <w:pStyle w:val="ac"/>
      <w:ind w:firstLine="0"/>
      <w:jc w:val="center"/>
    </w:pPr>
    <w:r>
      <w:rPr>
        <w:noProof/>
        <w14:ligatures w14:val="none"/>
      </w:rPr>
      <w:drawing>
        <wp:inline distT="0" distB="0" distL="0" distR="0" wp14:anchorId="49B51B8C" wp14:editId="43EEA1FA">
          <wp:extent cx="2178050" cy="501650"/>
          <wp:effectExtent l="0" t="0" r="0" b="0"/>
          <wp:docPr id="7" name="image2.png" descr="https://lh7-rt.googleusercontent.com/docsz/AD_4nXfDjCVuXvtyDb_g5oiI-o7rsuMMVAdREVaKSHtTjI750FKXamGt8YM8r7bDNrqzPfjbm843mGSxsFAh6O9MXk5WgO5n999orFfAw4ari2ri2l1em3_gawNnjNV-vg4x98cRN0KqAwxAPkRJ_2pwtcM?key=WUfKUfpe5t-xxtYodB3DK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https://lh7-rt.googleusercontent.com/docsz/AD_4nXfDjCVuXvtyDb_g5oiI-o7rsuMMVAdREVaKSHtTjI750FKXamGt8YM8r7bDNrqzPfjbm843mGSxsFAh6O9MXk5WgO5n999orFfAw4ari2ri2l1em3_gawNnjNV-vg4x98cRN0KqAwxAPkRJ_2pwtcM?key=WUfKUfpe5t-xxtYodB3DK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0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EB7" w14:textId="77777777" w:rsidR="00123BF0" w:rsidRDefault="008422E6">
    <w:pPr>
      <w:pStyle w:val="ac"/>
      <w:ind w:firstLine="0"/>
      <w:jc w:val="center"/>
    </w:pPr>
    <w:r>
      <w:rPr>
        <w:noProof/>
        <w14:ligatures w14:val="none"/>
      </w:rPr>
      <w:drawing>
        <wp:inline distT="0" distB="0" distL="0" distR="0" wp14:anchorId="34C8BEAD" wp14:editId="1447B7EF">
          <wp:extent cx="2178050" cy="501650"/>
          <wp:effectExtent l="0" t="0" r="0" b="0"/>
          <wp:docPr id="8" name="image2.png" descr="https://lh7-rt.googleusercontent.com/docsz/AD_4nXfDjCVuXvtyDb_g5oiI-o7rsuMMVAdREVaKSHtTjI750FKXamGt8YM8r7bDNrqzPfjbm843mGSxsFAh6O9MXk5WgO5n999orFfAw4ari2ri2l1em3_gawNnjNV-vg4x98cRN0KqAwxAPkRJ_2pwtcM?key=WUfKUfpe5t-xxtYodB3DK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https://lh7-rt.googleusercontent.com/docsz/AD_4nXfDjCVuXvtyDb_g5oiI-o7rsuMMVAdREVaKSHtTjI750FKXamGt8YM8r7bDNrqzPfjbm843mGSxsFAh6O9MXk5WgO5n999orFfAw4ari2ri2l1em3_gawNnjNV-vg4x98cRN0KqAwxAPkRJ_2pwtcM?key=WUfKUfpe5t-xxtYodB3DK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0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349"/>
    <w:multiLevelType w:val="multilevel"/>
    <w:tmpl w:val="12B313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FA34C0"/>
    <w:multiLevelType w:val="multilevel"/>
    <w:tmpl w:val="19FA34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AC1EFC"/>
    <w:multiLevelType w:val="multilevel"/>
    <w:tmpl w:val="20AC1E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D13B62"/>
    <w:multiLevelType w:val="multilevel"/>
    <w:tmpl w:val="20D13B6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54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1A48A9"/>
    <w:multiLevelType w:val="multilevel"/>
    <w:tmpl w:val="3D1A48A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752E0"/>
    <w:multiLevelType w:val="multilevel"/>
    <w:tmpl w:val="764752E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EC67D2"/>
    <w:multiLevelType w:val="multilevel"/>
    <w:tmpl w:val="7FEC67D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89"/>
    <w:rsid w:val="00001BA7"/>
    <w:rsid w:val="000374BF"/>
    <w:rsid w:val="00043C61"/>
    <w:rsid w:val="0004720A"/>
    <w:rsid w:val="0005135F"/>
    <w:rsid w:val="0007210D"/>
    <w:rsid w:val="000A3D43"/>
    <w:rsid w:val="000A678F"/>
    <w:rsid w:val="000C5144"/>
    <w:rsid w:val="000D3AF2"/>
    <w:rsid w:val="000E72F9"/>
    <w:rsid w:val="0010385F"/>
    <w:rsid w:val="00112EDB"/>
    <w:rsid w:val="00123BF0"/>
    <w:rsid w:val="00123C4A"/>
    <w:rsid w:val="00142173"/>
    <w:rsid w:val="00146E6B"/>
    <w:rsid w:val="00153042"/>
    <w:rsid w:val="001606E5"/>
    <w:rsid w:val="001668D7"/>
    <w:rsid w:val="001748B0"/>
    <w:rsid w:val="0017759D"/>
    <w:rsid w:val="001A6130"/>
    <w:rsid w:val="001B15CC"/>
    <w:rsid w:val="001B2C6C"/>
    <w:rsid w:val="001C013E"/>
    <w:rsid w:val="001C5166"/>
    <w:rsid w:val="001D4FBD"/>
    <w:rsid w:val="001D6E41"/>
    <w:rsid w:val="001E2F7F"/>
    <w:rsid w:val="002268F9"/>
    <w:rsid w:val="00230C66"/>
    <w:rsid w:val="00244744"/>
    <w:rsid w:val="00293574"/>
    <w:rsid w:val="002A45CB"/>
    <w:rsid w:val="002D1BE9"/>
    <w:rsid w:val="002D2416"/>
    <w:rsid w:val="002E3196"/>
    <w:rsid w:val="002F2EB2"/>
    <w:rsid w:val="00351F91"/>
    <w:rsid w:val="00363DE4"/>
    <w:rsid w:val="003705A3"/>
    <w:rsid w:val="00372B8E"/>
    <w:rsid w:val="003A2559"/>
    <w:rsid w:val="003B2964"/>
    <w:rsid w:val="003C4DB1"/>
    <w:rsid w:val="003D0750"/>
    <w:rsid w:val="00404ED5"/>
    <w:rsid w:val="0043491F"/>
    <w:rsid w:val="00442C45"/>
    <w:rsid w:val="00444796"/>
    <w:rsid w:val="0045275F"/>
    <w:rsid w:val="004678E2"/>
    <w:rsid w:val="004726D4"/>
    <w:rsid w:val="00475CAB"/>
    <w:rsid w:val="00481378"/>
    <w:rsid w:val="00490D4E"/>
    <w:rsid w:val="0049707D"/>
    <w:rsid w:val="004A5E83"/>
    <w:rsid w:val="004F235E"/>
    <w:rsid w:val="005063DA"/>
    <w:rsid w:val="0058033B"/>
    <w:rsid w:val="005A5FBD"/>
    <w:rsid w:val="005B6E4C"/>
    <w:rsid w:val="00601846"/>
    <w:rsid w:val="006050D1"/>
    <w:rsid w:val="006231E2"/>
    <w:rsid w:val="006248A9"/>
    <w:rsid w:val="00626325"/>
    <w:rsid w:val="00635043"/>
    <w:rsid w:val="00650606"/>
    <w:rsid w:val="006557BD"/>
    <w:rsid w:val="00657457"/>
    <w:rsid w:val="006624A8"/>
    <w:rsid w:val="00667B30"/>
    <w:rsid w:val="00683EB0"/>
    <w:rsid w:val="006B5924"/>
    <w:rsid w:val="006D3E90"/>
    <w:rsid w:val="006E12C5"/>
    <w:rsid w:val="00716B30"/>
    <w:rsid w:val="00726C06"/>
    <w:rsid w:val="0073250E"/>
    <w:rsid w:val="00735A84"/>
    <w:rsid w:val="00736A18"/>
    <w:rsid w:val="00762489"/>
    <w:rsid w:val="0077166A"/>
    <w:rsid w:val="00792618"/>
    <w:rsid w:val="0079382F"/>
    <w:rsid w:val="007A15FB"/>
    <w:rsid w:val="007A54BB"/>
    <w:rsid w:val="007A60B0"/>
    <w:rsid w:val="007D76C6"/>
    <w:rsid w:val="007E6468"/>
    <w:rsid w:val="00802AF9"/>
    <w:rsid w:val="00812882"/>
    <w:rsid w:val="008422E6"/>
    <w:rsid w:val="0084716E"/>
    <w:rsid w:val="00847896"/>
    <w:rsid w:val="0087570E"/>
    <w:rsid w:val="008758D7"/>
    <w:rsid w:val="008953C8"/>
    <w:rsid w:val="008A450D"/>
    <w:rsid w:val="008C0DE4"/>
    <w:rsid w:val="008C591E"/>
    <w:rsid w:val="0092714F"/>
    <w:rsid w:val="0095069A"/>
    <w:rsid w:val="009758E5"/>
    <w:rsid w:val="009A3E5F"/>
    <w:rsid w:val="009B29A9"/>
    <w:rsid w:val="009B4344"/>
    <w:rsid w:val="009C431C"/>
    <w:rsid w:val="00A02E9A"/>
    <w:rsid w:val="00A23FC9"/>
    <w:rsid w:val="00AA4E9F"/>
    <w:rsid w:val="00AA76AC"/>
    <w:rsid w:val="00AD2CFC"/>
    <w:rsid w:val="00AD58E9"/>
    <w:rsid w:val="00AE2E9D"/>
    <w:rsid w:val="00AE5047"/>
    <w:rsid w:val="00AF75DE"/>
    <w:rsid w:val="00B02DEF"/>
    <w:rsid w:val="00B34D02"/>
    <w:rsid w:val="00B37C5D"/>
    <w:rsid w:val="00B62E69"/>
    <w:rsid w:val="00B75604"/>
    <w:rsid w:val="00BC1FA9"/>
    <w:rsid w:val="00BD7FE2"/>
    <w:rsid w:val="00C0046D"/>
    <w:rsid w:val="00C16ACC"/>
    <w:rsid w:val="00C212CA"/>
    <w:rsid w:val="00C92704"/>
    <w:rsid w:val="00CB119A"/>
    <w:rsid w:val="00CB3ACD"/>
    <w:rsid w:val="00CD786C"/>
    <w:rsid w:val="00D15CB9"/>
    <w:rsid w:val="00D364A9"/>
    <w:rsid w:val="00D478CC"/>
    <w:rsid w:val="00D64C38"/>
    <w:rsid w:val="00DB06A2"/>
    <w:rsid w:val="00DB6997"/>
    <w:rsid w:val="00DC1462"/>
    <w:rsid w:val="00E06E3D"/>
    <w:rsid w:val="00E417CF"/>
    <w:rsid w:val="00E432D2"/>
    <w:rsid w:val="00E71391"/>
    <w:rsid w:val="00E97299"/>
    <w:rsid w:val="00E976F9"/>
    <w:rsid w:val="00EC7EC3"/>
    <w:rsid w:val="00EE3711"/>
    <w:rsid w:val="00EF683C"/>
    <w:rsid w:val="00F037C1"/>
    <w:rsid w:val="00F349F8"/>
    <w:rsid w:val="00F43C52"/>
    <w:rsid w:val="00F57C22"/>
    <w:rsid w:val="00F7669C"/>
    <w:rsid w:val="00F7786A"/>
    <w:rsid w:val="00FA6F75"/>
    <w:rsid w:val="00FB702B"/>
    <w:rsid w:val="00FD3F61"/>
    <w:rsid w:val="00FD5084"/>
    <w:rsid w:val="00FD6F44"/>
    <w:rsid w:val="00FE446F"/>
    <w:rsid w:val="00FE7170"/>
    <w:rsid w:val="02816769"/>
    <w:rsid w:val="14A02B65"/>
    <w:rsid w:val="1D54204E"/>
    <w:rsid w:val="3FC42406"/>
    <w:rsid w:val="424B1218"/>
    <w:rsid w:val="56063D9C"/>
    <w:rsid w:val="5D980C1C"/>
    <w:rsid w:val="5DFE6042"/>
    <w:rsid w:val="603A596D"/>
    <w:rsid w:val="62392EB4"/>
    <w:rsid w:val="7CA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2C40"/>
  <w15:docId w15:val="{BCBA8F14-694F-40CB-8D1E-02DE332D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  <w:jc w:val="both"/>
    </w:pPr>
    <w:rPr>
      <w:rFonts w:ascii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pPr>
      <w:jc w:val="both"/>
    </w:pPr>
    <w:rPr>
      <w:b/>
      <w:bCs/>
      <w:sz w:val="20"/>
      <w:szCs w:val="20"/>
    </w:rPr>
  </w:style>
  <w:style w:type="paragraph" w:styleId="aa">
    <w:name w:val="footnote text"/>
    <w:basedOn w:val="a"/>
    <w:link w:val="ab"/>
    <w:autoRedefine/>
    <w:uiPriority w:val="99"/>
    <w:unhideWhenUsed/>
    <w:qFormat/>
    <w:pPr>
      <w:ind w:firstLine="0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80"/>
    </w:p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nsolas" w:hAnsi="Consolas"/>
      <w:sz w:val="20"/>
      <w:szCs w:val="20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ab">
    <w:name w:val="Текст сноски Знак"/>
    <w:basedOn w:val="a0"/>
    <w:link w:val="aa"/>
    <w:uiPriority w:val="99"/>
    <w:qFormat/>
    <w:rPr>
      <w:rFonts w:ascii="Times New Roman" w:hAnsi="Times New Roman" w:cs="Times New Roman"/>
      <w:sz w:val="20"/>
      <w:szCs w:val="20"/>
    </w:rPr>
  </w:style>
  <w:style w:type="paragraph" w:styleId="af6">
    <w:name w:val="No Spacing"/>
    <w:autoRedefine/>
    <w:uiPriority w:val="1"/>
    <w:qFormat/>
    <w:rPr>
      <w:kern w:val="2"/>
      <w:sz w:val="24"/>
      <w:szCs w:val="24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Подзаголовок Знак"/>
    <w:basedOn w:val="a0"/>
    <w:link w:val="af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rFonts w:ascii="Times New Roman" w:hAnsi="Times New Roman" w:cs="Times New Roman"/>
      <w:i/>
      <w:iCs/>
      <w:color w:val="404040" w:themeColor="text1" w:themeTint="BF"/>
      <w:sz w:val="28"/>
      <w:szCs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 w:cs="Times New Roman"/>
      <w:i/>
      <w:iCs/>
      <w:color w:val="2F5496" w:themeColor="accent1" w:themeShade="BF"/>
      <w:sz w:val="28"/>
      <w:szCs w:val="28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hAnsi="Consolas" w:cs="Times New Roman"/>
      <w:kern w:val="2"/>
      <w:lang w:eastAsia="en-US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hAnsi="Times New Roman" w:cs="Times New Roman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data">
    <w:name w:val="docdata"/>
    <w:aliases w:val="docy,v5,2519,bqiaagaaeyqcaaagiaiaaapzcaaabqej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uremberg.media/mesto/20201119/16200/Genotsid-sovetskikh-grazhda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744C-09E3-4A64-A4A5-23D9CD73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3945</Words>
  <Characters>22489</Characters>
  <Application>Microsoft Office Word</Application>
  <DocSecurity>0</DocSecurity>
  <Lines>187</Lines>
  <Paragraphs>52</Paragraphs>
  <ScaleCrop>false</ScaleCrop>
  <Company/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Левицкий Федор Сергеевич</cp:lastModifiedBy>
  <cp:revision>3</cp:revision>
  <dcterms:created xsi:type="dcterms:W3CDTF">2026-04-14T11:40:00Z</dcterms:created>
  <dcterms:modified xsi:type="dcterms:W3CDTF">2026-04-14T11:44:00Z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B5EDED4061BB4DF786F4DD6631568049_13</vt:lpwstr>
  </property>
</Properties>
</file>