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Сценарий мастер-лекции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«Русская инженерная школа. Мы — инженеры!»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Громов Владимир Игоревич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jc w:val="right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управления стратегических коммуникаций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ООО «ЕТЭС»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Москва, 2026 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before="240"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популяризировать российское инженерное образование и современные отечественные технические инноваций и достижения, а также привлечь молодёжь в инженерные специальности ТЭК. Повысить интерес к российским технологическим компаниям в молодёжной среде.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20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Задачи: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Познакомить молодёжь с научно-образовательной и социально-экономической сферами России в контексте энергетической отрасли.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Сформировать позитивный имидж русской инженерной школы.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Продемонстрировать исторические и фундаментальные ценности русской инженерной школы, в том числе в сфере энергетики.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Повысить уровень интереса к развитию русской инженерной школы как базы для подготовки технических специалистов для топливно-энергетического комплекса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numPr>
          <w:ilvl w:val="0"/>
          <w:numId w:val="1"/>
        </w:numPr>
        <w:ind w:left="0"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Проинформировать о перспективных направлениях отечественной энергетики, в том числе в рамках реализации Энергетической стратегии Российской Федерации на период до 2050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Формируемые ценности: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Служение Отечеству и ответственность за его судьбу</w:t>
      </w:r>
      <w:r>
        <w:rPr>
          <w:rFonts w:ascii="Times New Roman" w:hAnsi="Times New Roman" w:eastAsia="Times New Roman" w:cs="Times New Roman"/>
          <w:sz w:val="28"/>
          <w:szCs w:val="28"/>
        </w:rPr>
        <w:br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Историческая память и преемственность поколений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</w:rPr>
        <w:t xml:space="preserve">Созидательный труд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yellow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Смысловые направления: 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  <w:r>
        <w:rPr>
          <w:rFonts w:ascii="Times New Roman" w:hAnsi="Times New Roman" w:eastAsia="Times New Roman" w:cs="Times New Roman"/>
          <w:sz w:val="28"/>
          <w:szCs w:val="28"/>
          <w:highlight w:val="yellow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Наука и технологическое лидерство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Продолжительность: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40 минут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Целевая аудитория: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старшеклассники, студенты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Возрастное ограничение: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12+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Тип методического материала: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лекция.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Комплект материалов: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сценарий, презентация.</w:t>
      </w:r>
      <w:r>
        <w:br w:type="page" w:clear="all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1.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Инструкция Интерум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Титульный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Регистрация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Слайд 4. Опрос Интерум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Быть инженером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Каждый человек на Земле наверняка задумывался о смысле жизни и о том, правильно ли он живёт. Некоторые ищут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смысл жизни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на протяжении всей жизни, но так и не находят. Другие открывают его со временем. А есть и те, кто вместо поисков просто создаёт смысл самостоятельно — своим трудом и вкладом в общее дело.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Инженер — это профессия, которая даёт именно такую возможность,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не искать, а создавать необходимые условия для жизни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 В современном мире инженер —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творец технологий, инфраструктуры и решений, без которых невозможна жизнь: от смартфонов и интернета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до мостов, больниц и энергосистем. Инвестировать свои усилия, время и жизненную энергию в получение инженерного образования — значит выбрать путь, который не только обеспечит стабильное будущее, но и позволит внести реальный вклад в прогресс человечества.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Если вы захотите быть причастным к общественно важному делу, обратите внимание на энергетическую отрасль. Благодаря технологиям,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изобретённым и спроектированным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русскими инженерам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, учёными и конструкторами, у нас есть тепло в домах, топливо для транспорта, электричество для оборудования. Именно они заложили 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приумножили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множество жизненно важных, удобных и полезных технологий.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 русской инженерной школе можно говорить бесконечно, но сегодня наш рассказ в значительной степени сосредоточится на электроэнергетической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отрасли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Инженерное дело и искусство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Давайте начнём с определения, кто такой инженер. Инженер — это специал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ист, который занимается разработкой, проектированием, конструированием, изготовлением, эксплуатацией и обслуживанием различных технических устройств, машин, оборудования, систем и сооружений. Основное требование к любому инженеру — создание работающих, над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ёжных и эффективных решений конкретных задач. Изобретать можно всё что угодно, но воплощение изобретений всегда требует ресурсов, которых всегда ограниченное количество. Их необходимо умело вкладывать в дело, а не бессмысленно расходовать без цели и идеи.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Например, протоинженеры каменного века придумали очаг как способ лучше сохранять огонь. Это было необходимо для выживания. Получае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тся, что древние люди уже работали с технологиями управления энергией, потому что очаг — это тоже инженерное устройство. Его предназначение — сохранить огонь и сделать его горение контролируемым, чтобы те, кто им пользовался, могли делать это с удобством.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/>
      <w:bookmarkStart w:id="0" w:name="_heading=h.79tr6aywhuq"/>
      <w:r/>
      <w:bookmarkEnd w:id="0"/>
      <w:r>
        <w:rPr>
          <w:rFonts w:ascii="Times New Roman" w:hAnsi="Times New Roman" w:eastAsia="Times New Roman" w:cs="Times New Roman"/>
          <w:sz w:val="28"/>
          <w:szCs w:val="28"/>
        </w:rPr>
        <w:t xml:space="preserve">Все инженеры — это творческие люди, которые обладают живым, пытливым умом, способностью создавать что-то новое и сразу применять это на практике с пользой для других. Благодаря таким людя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 появились мельницы и подъёмные краны, возникла и постепенно усложнялась техника. Некоторые вещи, созданные инженерами, были признаны объектами культурного наследия и признаны произведениями искусства. При этом инженерия кардинально отличается от искусств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а, где зачастую желание человека самовыразиться важнее, чем желание удовлетворить потребности окружающих. Напротив, повторим ещё раз: цель инженера — создавать такие устройства и решать такие технические задачи, которые будут приносить пользу людям вокруг.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Появление русской инженерной школы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Изначально создание собственной инженерной школы в России — это решение верховной власти страны. В 1701 году Пётр I основал два государственных инженерных учреждения: Школу Пушкарского приказа, которая готовила артиллеристов, военных и горных инженеров,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еталлургов, и Школу математических и навигацких (навигационных) наук, где готовили кадры для флота и мореходства, делая упор на математику, астрономию и навигацию. Основание Петром I этих учебных заведений является началом инженерного образования в России.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 началом XIX века, с развитием капитализма и промышленности в Российской империи слово «инженер» начинает применяться и к людям, проектирующим строительство гражданских объектов.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i/>
          <w:i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Постепенно в России появился широкий спектр учебных заведений, в которых можно было получить военное или гражданское образование для будущей инженерной работы. В 1832 году было создано Училище гражданских инженеров.</w:t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  <w:r>
        <w:rPr>
          <w:rFonts w:ascii="Times New Roman" w:hAnsi="Times New Roman" w:eastAsia="Times New Roman" w:cs="Times New Roman"/>
          <w:i/>
          <w:i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1830-1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68 годы в период начавшегося промышленного переворота в Российской империи был сформирован новый, экспериментально-практический метод обучения. Его основа сложилась благодаря усилиям преподавательского коллектива Московского ремесленного учебного заведения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2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Необходимо сказать, что на формирование особого подхода к обучению в первую очередь повлиял тот фа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кт, что Россия в XIX столетии ещё только развивала средства сообщения, а количество инженеров было небольшим. Работая над проектом, инженер на месте зачастую не мог обратиться к коллегам за помощью или советом. Он вынужден был самостоятельно принимать все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решения и нёс за них полную ответственность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3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таких обстоятельствах инженер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 требовалось обладать широким кругозором, фундаментальными знаниями, хорошо разбираться в смежных дисциплинах и при этом быть практиком — представлять, как работать с теми или иными инструментами, станками и механизмами. На каких же принципах базировался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русский метод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обучения?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Принципы «русского метода» обучения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vertAlign w:val="superscript"/>
        </w:rPr>
        <w:footnoteReference w:id="4"/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: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Выделяется три основных принципа, из которых исходил и на которых строился весь процесс обучения в технических училищах и институтах начиная со второй половины XIX века: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1. Глубокая практическая подготовка, основанная на реальной работе студентов в условиях, максимально приближенных к тем, с которыми им после придётся иметь дело на заводах и фабриках.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Серьёзное изучение теоретических предметов на уровне, не уступающем преподаванию этих же предметов в классических университетах.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Постоянная взаимовыгодная связь высшей технической школы с промышленностью.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То, что сегодня кажется нам обычным приёмом обучения, когда на занятиях в школах и вузах демонстрируются мод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ели инструментов, техники и практические способы работы с ними, тогда только зарождалось. Высокая потребность России в инженерах в XIX веке привела к тому, что ремесленное учебное заведение было превращено в императорское московское техническое училище.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мастерских завода и лабораториях училища начиная с 1870-х годов учащимися выполнялись различные работы по заказам промышленности. Изготовлялись паровые котлы, гидравлические прессы, насосы, различные станки и подготавливались проекты различных конструкций.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мире «Русский метод обучения ремёслам», как его официально назвали, </w:t>
      </w:r>
      <w:r>
        <w:rPr>
          <w:rFonts w:ascii="Times New Roman" w:hAnsi="Times New Roman" w:eastAsia="Times New Roman"/>
          <w:sz w:val="28"/>
          <w:szCs w:val="28"/>
        </w:rPr>
        <w:t xml:space="preserve"> получил известность во многих странах, особенно после демонстрации на Всемирной выставке в Вене (1873</w:t>
      </w:r>
      <w:r>
        <w:rPr>
          <w:rFonts w:ascii="Times New Roman" w:hAnsi="Times New Roman" w:eastAsia="Times New Roman"/>
          <w:sz w:val="28"/>
          <w:szCs w:val="28"/>
          <w:lang w:val="ru-RU"/>
        </w:rPr>
        <w:t xml:space="preserve"> год</w:t>
      </w:r>
      <w:r>
        <w:rPr>
          <w:rFonts w:ascii="Times New Roman" w:hAnsi="Times New Roman" w:eastAsia="Times New Roman"/>
          <w:sz w:val="28"/>
          <w:szCs w:val="28"/>
        </w:rPr>
        <w:t xml:space="preserve">), где он был удостоен Большой золотой медали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Более того, в ряде австрийских и американских технических вузов перешли на «русский метод обучения».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5"/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Достижения русских инженеров в XIX — начале XX века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Во многих крупных городах Российской империи в конце XIX века существовали реальные училища, в которых, в отличие от гимназий, давалось естественно‑научное образование.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Развитие технологий, использующих электричество, шло в Российской империи изначально на деньги военного министерс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тва. Первые разработки — это поиски технологий дистанционного подрыва заряда электрическим током и поиски способов использования электрического света для освещения фортификационных сооружений. Образование первые русские энергетики также часто получали имен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 в военных учебных заведениях. Изобретатель всемирно известной системы использования для освещения электрической дуги Павел Николаевич Яблочков и один из изобретателей лампы накаливания Александр Николаевич Лодыгин окончили военные инженерные учреждения.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Устроитель первой электрической выставки в Санкт‑Петербурге в 1881 году и редактор первого русского электрического журнала «Электричество» Владимир Николаевич Чиколев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6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служил делопроизводителем артиллерийского комитета по электротехническому отделу. Его стараниями была открыта в артиллерийском ведомстве электрическая лаборатория. Его теоретические разработки использовались в течение полувека по всей России и Европе.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1880 году в Санкт-Петербурге был испытан первый трамвай инженера Фёдора Пироцкого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7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В 1881 году русский инженер Николай Николаевич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Бена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 первым в мире изобрёл электрическую сварку и моментально прославился в Европе и США. Бена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дос являлся автором 200 различных изобретений: от амперметра до электротигеля.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России очень успешно развивались железные дороги и инженерные технологии мостостроения, строительства ж/д путей по пустыне. Огромные успехи были сделаны в мет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аллургии и геологии. Активно развивалась практическая инженерия на Донбассе. Множество изобретений, сделанных российскими инженерами, получили коммерческий успех за рубежом — часто без указания первенства российских инженеров в изобретении этих технологий.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План ГОЭЛРО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Неудача в военных действиях Первой 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ировой войны, резкое и кардинальное изменение общественного и политического строя в России в ходе революционных событий 1917 года привели к гражданской войне. Её последствия стали основной причиной появления госзаказа на первый энергетический «нацпроект».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Основные центры промышленного производства — Москва, Санкт‑Петербург, Екатеринбург — были очень отдалены от мест добычи топлива. В 1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915 году в ходе Первой мировой и гражданской войн 1918—1920 годов были потеряны или полностью разрушены домбровское и донецкое месторождения, которые давали около 80% добычи угля. Разрушена цепочка доставки нефтепродуктов с Каспия в Центральную Россию. Фак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тически парализована была и работа железнодорожного транспорта. Начавшийся «топливный голод» остановил работу промышленных предприятий. Отсутствие промышленной продукции мешало товарообмену города и деревни. Это привело к голоду уже среди населения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Перед руководством советской России встал вопрос о создании экономической стратегии выхода из разрухи гражданской войны. Предложенное решение состояло в умелом комбинировании инженерных и организационных средств.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 государственной электрификации России (план ГОЭЛРО) был представлен в декабре 1920 г. в Москве. Основная идея плана заключалась в отказе от вос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становления старых заводов, использующих пар, и путей доставки топлива к ним. Было решено начать постройку 30 электрических станций в европейской части России. Это должно создать новую промышленность, использующую энергию электричества, а не водяного пара.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Часть электростанций должна была работать на местных видах топлива, например торфе или подмосковном буром угле. Планировалось преодолеть проблему логистических сложностей доставки в промышленные центры топлива из районов Донбасса и Баку.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группе, создававшей этот план, участвовало около 200 инженеров, выпускников из императорских училищ, которые предложили реализовать свои идеи по развитию страны.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Так, проект постройки ГЭС на реке Волхов был готов задолго до Первой мировой войны. Новая власть решила вопросы с финансированием и выделением земли под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строительство станций и ЛЭП. Аналогичный проект масштабной государственной электрификации был в то время попросту невозможен ни в одной другой стране мира, где энергокомпании конкурировали друг с другом, а частная собственность на землю осложняла стройки.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Уникальность плана ГОЭЛРО была в том, что с нуля построить предстояло не только электростанции, но и линии электропередач, трансформаторные станции, предприятия, которые должны были обеспечивать эти стройки всем необходимым: от стройматериалов до техники.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План ГОЭЛРО был перевыполнен к 1931 году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8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и СССР получил энергетическую базу для своей индустриализации. Постепенно в СССР была планово создана и собственная электротехническая промышленность, которая позволила не просто отказаться от закупки энергетических агрегатов за рубежом,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но и экспортировать энергетические технологии из нашей страны в развивающиеся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11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Дважды победители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Начало Великой Отечественной 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ойны поставило перед советскими энергетиками несколько задач. От эвакуации энергетического оборудования с территорий, которые в 1941 году оккупировали нацисты, до запуска оборудования на новых площадках в тылу для энергоснабжения оборонной промышленности.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Среди трудовых подвигов советских энергетиков можно выделить создание сотрудниками «Мосэнерго» оборонительных электрозаграждений при защите Москвы и прокладку «кабеля жизни» по дну Ладожского озера для энергоснабже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ния блокадного Ленинграда. В годы войны в СССР впервые стали использовать природный газ в качестве топлива электростанций. В 1943 году по заданию Государственного комитета обороны был введён в строй первый 160‑километровый газопровод Бугуруслан — Куйбышев.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начале войны энергетики, так же как и сотрудники других предприятий, массово уходили добровольцами на фронт. Вскоре им было запрещено оставлять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свои рабочие места. Для страны они были более важны на своём посту. Для нацистов было очевидно, что уничтожение электростанции неизбежно приведёт к остановке всех оборонных заводов вокруг. И гитлеровские люфтваффе неоднократно предпринимали такие попытки.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всей стране велась жёсткая экономия электрической энергии под различными лозунгами, например: «Экономя киловатты, ты даёшь на фронт гранаты». Каждый киловатт был необходим стране для снабжения фронта. При этом на каждом энергет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ическом предприятии, дополнительно к выработке энергии, производили и что‑то необходимое для фронта: где‑то корпуса для миномётных мин, где‑то компоненты для «Катюш». Инженерная мысль советских энергетиков была нацелена на помощь в решении фронтовых задач.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Когда наши войска начали освобождать территории, захваченные противником, то вслед за военными в города приходили энергопоезда — передвижные железнодорожные электростанции, которые помогали налаживать жизнь в разрушенных городах.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Вместе со всем народом советские энергетики стали дважды победителями. Те, кто победил врага на фронте, возвращались после Победы, чтобы возродить 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азрушенное войной и восстановить страну. В честь трудового подвига советских энергетиков 1940‑х годов по инициативе Министерства энергетики Российской Федерации в Музее Победы в апреле 2025 года была открыта выставка, которая называлась «Дважды победители»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9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Единая энергетическая система СССР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Огромным организационно‑инженерным успехом советской энергетики стало создание единой энергетической системы СССР. В основе лежала идея — если все крупные электростанции (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ТЭС, ГЭС, АЭС) будут работать в одной энергосистеме и под одним руководством, то часть энергии можно передавать из региона в регион. Это дало бы не только более равномерную загрузку энергетического оборудования, но и повысило бы надёжность энергоснабжения.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Началом работы Единой энергетической системы (ЕЭС) называют 1956 год, когда были построены линии электропередачи Жигулёвской ГЭС (Самарская область) с Волги в моско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вскую энергосистему. ЕЭС СССР стала одной из крупнейших и наиболее технологически продвинутых энергосистем мира. Она обеспечивала бесперебойное энергоснабжение огромной страны с разными климатическими зонами и часовыми поясами на сотни и тысячи километров.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Атомный проект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Всего через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три месяца после водружения советского флага над Рейхстагом, 20 августа 1945 года, Государственный комитет обороны СССР принял решение о начале работ по созданию ядерного оружия в ответ на создание такого оружия в США. Оказалось, что в процессе получения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оружейного плутония из урана‑238 выделяется много тепла, что поставило советских учёных перед задачей охлаждения ядерного реактора и управления этой реакцией. Казалось бы, охлаждение реактора — это совершенно определённая, но частная задача процесса по соз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данию ядерного оружия. Но что, если тепло, выделяющееся при такой реакции, использовать в мирных целях? Например, для превращения воды в пар. Ведь именно водяной пар высокой температуры и большого давления вращает роторы турбин на тепловых электростанциях.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1949 году стараниями советских учёных была создана первая отечественная атомная бомба — появился фактор сдерживания США от начала ядерной войны. А на следующий год, в 1950‑м, вышло секретное постановление Совета Министров СССР </w:t>
      </w:r>
      <w:r>
        <w:rPr>
          <w:rFonts w:ascii="Times New Roman" w:hAnsi="Times New Roman" w:eastAsia="Times New Roman"/>
          <w:sz w:val="28"/>
          <w:szCs w:val="28"/>
        </w:rPr>
        <w:t xml:space="preserve">№ 2030-788сс/оп «О научно исследовательских, проектных и экспериментальных работах по использованию атомной энергии для мирных целей».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Место для строительства первой секретной АЭС выбрали в Обнинске, примерно в 100 километрах от Москвы. Главным конструктором станции был назначен выдающийся учёный Николай Антонович Доллежаль.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 июля 1954 года ТАСС сообщило: «В Советском Союзе усилиями учёных и инженеров встала под промышленную нагрузку первая в мире промышленная атомная электростанция полезной мощн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остью 5 тысяч киловатт». Инженеры со всего мира приезжали посмотреть, как работает первая в мире атомная электрическая станция — АЭС. Подсчитано, что за первые 20 лет работы на ней побывало около 2200 делегаций, в которых было примерно 60 000 экскурсантов.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нужном уровне контроля работа АЭС гораздо более экологична, чем электростанции, работающие на сжигании угля или газа, и гораздо более эффективна, чем ТЭЦ. Государственная корпорация «Росатом» сегодня является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мировым лидером по числу энергоблоков, которые пос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троила или строит за рубежом. «Росатом» занимает первое место в мире по числу проектов строительства АЭС за рубежом — 41 энергоблок в 11 странах мира. Помимо сооружения АЭС, Россия осуществляет экспорт ядерного топлива и занимает около 17% мирового рынка.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4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Развитие инженерной теории и практики в СССР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Интересно, что русской инженерной школой в Российской империи и СССР было сделано не только множество важн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ейших изобретений, но и развивались методики того, как правильно решать изобретательские задачи, — как выращивать опытных и ведущих инженеров из выпускников институтов. Свои традиции наставничества были во всех крупных советских конструкторских бюро (КБ).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1948 году был создан Государственный комитет Совета Министров СССР по науке и технике. Уникальность подхода состояла в том, что вопросы технического прогресса были поставлены в основу всех министерств и ведомств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1960 году количество людей с инженерным образованием, работавших по специальности в стране, составляло около 1 135 000 человек</w:t>
      </w:r>
      <w:r>
        <w:rPr>
          <w:rFonts w:ascii="Times New Roman" w:hAnsi="Times New Roman" w:eastAsia="Times New Roman" w:cs="Times New Roman"/>
          <w:sz w:val="28"/>
          <w:szCs w:val="28"/>
          <w:vertAlign w:val="superscript"/>
        </w:rPr>
        <w:footnoteReference w:id="10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Материальный уровень и социальный престиж научной деятельности сильно возрос. Имена и научные открытия советских учёных стали известны на весь мир.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1957 году в СССР состоялись успешные испытания многоступенчатой межконтинентальной баллистической ракеты. Одновременно начался запуск искусственных спутников Земли. Советские учё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ные во главе с Сергеем Королёвым создали ракеты, способные преодолеть силу земного притяжения и выйти в космическое пространство. 12 апреля 1961 года на околоземную орбиту вышел космический корабль «Восток» с советским космонавтом Юрием Гагариным на борту.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Разрабатывались системы, помог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ающие инженерному творчеству. Одним из основоположников отечественной философии техники стал инженер и преподаватель автомобилестроения Пётр Энгельмейер. Его перу принадлежат работы «Как надо и не надо изобретать» и «Конспект лекций по философии техники».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 называемая система «ТРИЗ» (теория решени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 изобретательских задач) была разработана в 1950‑х годах Генрихом Альтшуллером. «ТРИЗ» — это системный подход, заменяющий метод проб и ошибок применением определённых алгоритмов мышления. Система и сегодня используется в ведущих конструкторских бюро мира.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Большой опыт русская инженерная школа наработала и при строительстве производственных объектов в 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ружественных странах. В целях оказания помощи советские инженеры проектировали и строили промышленные объекты в различных странах социалистического блока Европы и в развивающихся странах Азии и Африки. Например, советские инженеры и проектировщики помогали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строить в 60‑е годы Асуанскую плотину и ГЭС на реке Нил в Египте. Наработанные практики «регионализации» инженерных решений расширили навыки русской инженерной школы: один тип зданий подходит для условий вечной мерзлоты, другой — для тропического климата.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Большое внимание СССР уделял и передаче традиций русской инженерной школы студентам других стран, которых принимали на учёбу в высшие учебные заведения нашей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5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На рубеже XX-XXI веков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Распад СССР привёл к тому, что энергетикам пришлос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ь учиться работать в новых рыночных условиях. Многие заводы в 90-е закрывались, и нужно было перестраивать систему энергоснабжения. Это стало серьёзным испытанием для российской энергетики, которой предстояло снова утвердить своё место в изменившемся мире.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Переход к рынку стал мощным стимулом для развития. Пер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 энергетиками встала амбициозная цель: не просто снабжать страну электричеством, а делать это надёжно, эффективно и с учётом реальных экономических условий. Это потребовало настоящей инженерной смекалки и управленческих инноваций. Началась большая работа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 модернизации. Старые советские мощности постепенно заменялись новым, более безопасным и экономичным оборудованием. Инженеры искали и внедряли современные технологии, чтобы снизить потери и повысить надёжность инфраструктуры в рамках всего государства.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Самое главное — этот период доказал гибкость и профессионализм российской инженерной школы. Специалисты 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могли не только сохранить гигантскую энергосистему страны, но и адаптировать её под нужды новой экономики. Опыт, полученный в 90-е, заложил основу для последующих масштабных проектов, строительства новых электростанций и развития возобновляемой энергетики.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Уже с начала XXI веке были реализованы крупные проекты: построены новые ГЭС и АЭС. Основан и успешно работает космодром «Восточный», построены новые газопроводы («Сила Сибири»), спроектированы и построены уникальные проекты мостов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полуострове Крым и острове Русский, выпущена первая в мире плавучая АЭС и новый вид атомных реакторов, способных утилизировать отработанное ядерное топливо, а на инфраструктуре российских железных дорог тестируются работы новейших квантовых компьютеров.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6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Энергетическая стратегия России на период до 2050 года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топливно‑энергетический компле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кс Российской Федерации создаёт примерно 20% ВВП нашей страны, платит в бюджет одну треть всех налогов и обеспечивает 65% всего экспорта Российской Федерации, и эта цифра станет ещё больше, если посчитать все компании и организации, которые работают с ТЭК.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Очевидно, что в условиях всех внешнеполитических угроз и технологических изменений, которые сейчас нарастают в мире, эта отрасль не может работать без стратег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ии и жить одним днём. Поэтому, в соответствии с Указом Президента Российской Федерации В.В. Путина, была разработана Энергетическая стратегия Российской Федерации на период до 2050 года. Она была утверждена распоряжением Правительства Российской Федерации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от 12 апреля 2025 года.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Этот документ нацелен на долговременное обеспечение энергетической безопасности, достижение технологического суверенитета, удовлетворение внутреннего спроса на энергоресурсы и реализацию экспортного потенциала стр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аны. Стратегия предполагает качественное обеспечение населения и экономики РФ надёжным энергетическим базисом ТЭК при реализации экспортного потенциала страны и обеспечении энергетической безопасности, технологического суверенитета и конкурентоспособности.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 2050 году доля атомной энергетики должна увеличиться в структуре выработки энергии до 25%.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Поскольку можно прогнозировать рост потребления электрической энергии для вычислительных мощностей и выбывание старых, выработавших свой ресурс электростанций, то в ближайшие десятилетия нам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предстоит построить около 100 ГВт новых и модернизировать 64 ГВт мощностей. При этом вся установленная мощность энергосистемы России сейчас составляет около 270 ГВт. То есть планируется огромное строительство, которому потребуется ваш интеллект и ваш труд.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 прогнозам экспертов, до 2042 года потребуется 68 трлн рублей для строительства новой генерации и электрических сетей. К этому нужно добавить ещё триллионы или даже десятки триллионов рублей на обновление тепловых сетей.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Таким образом, в ближайшие десятилетия проектирование и строительство энергообъектов будет крайне востребованной специальностью.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Снижение стоимости развития энергосистемы возможно и через соверш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енствование технологий. Крупнейшим энергетическим компаниям России со стороны Минэнерго розданы поручения по курированию совместно с научными лабораториями тех или иных энергетических технологий, которые необходимо развивать для выполнения Энергостратегии.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 этом очевидно, что технологический суверенитет России невозможен без собственного оборудования и технологий. Как правило, лучше окупается разработка тех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товаров, которые впоследствии имеют более широкий рынок сбыта. Наши турбины и иные энергоустройства должны быть не только надёжны, но и конкурентоспособны по цене и по стоимости обслуживания на мировом рынке. А значит, предстоит огромная инженерная работа.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Поэтому российской энергетике нужны новые инженерные кадры. И у всех вас есть огромные перспективы в данной отрасли. По оценкам Министерства энергетики Российской Федерации, речь может идти о необходимости подготовки сотен тысяч специалистов.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7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Обучение и производство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в России крупнейшие энергетические компании активно создают прямую связь между школой, вузом и производством. Это не просто теория — это реальная возможность для школьников и студентов сразу погрузиться в профессию.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Например, компания «РусГид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ро» открыла более 30 профильных классов в 13 регионах, где 1250 старшеклассников углублённо изучают физику и математику, посещают энергообъекты и решают реальные инженерные задачи. Победители студенческих энергетических школ получают стажировки в компании.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ранснефть» готовит специалистов в 8 опорных вузах, где студенты занимаются на современных полигонах с реальным оборудованием, используемым на трубопроводах. «Интер РАО» внедряет тренажёрные комплексы, на которых оперативный персонал и стажёры отрабатывают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управление энергообъектами в различных режимах, включая нештатные ситуации.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«Россети» ежегодно принимают на практику более 10 тысяч студентов и возродили движение студенческих отрядов — более 2 тысяч студентов работают на действующих и строящихся энергообъектах.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Таким образом, в России создана многоуровне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вая система: от профильных классов в школах до целевого обучения в вузах и практики на реальных производствах. Это позволяет будущим инженерам не просто получить диплом, а сразу стать востребованными специалистами в ведущих энергетических компаниях страны.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8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На стыке науки и промышленности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касается инноваций в современной энергетической отрасли России, то они уже затрагивают самые разные процессы. Крупнейшие компании страны создают уникальные исследовательские центры, где инженеры и учёные вместе разрабатывают технологии будущего.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Компания «Россети» открыла в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Санкт-Петербурге Интеллектуальную лабораторию цифровых сетей — первый в России центр, где создают и испытывают новейшее сетевое оборудование. Здесь разрабатывают высокотемпературные кабели, которые предназначены для передачи огромной мощности с минимальным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и потерями. Главная же задача, которую постепенно решают изобретатели, — это передача электричества на сверхбольшие расстояния без потери мощности. Сегодня они стараются превзойти существующий в нашей стране предел передачи электричества в 2500 километров.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«РусГидро» построила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Сахалине целый энергокомплекс для испытания водородных технологий, а на острове Русский — современный научно-исследовательский центр. Компания создала мобильную солнечную электростанцию на воде и уникальный фазоповоротный трансформатор для Волжской ГЭС.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«Интер РАО» замещает иностранное оборудование, производя современные турбины и трансформаторы, укрепляя технологический суверенитет страны. «Сибур» построил эффективную солнечную электростанцию, которая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поставляет до четверти всей энергии крупнейшему в России заводу пищевых полимеров. Этот проект получил международное признание. «Транснефть» создаёт отечественные технологии в отрасли нефтедобычи, которые конкурируют с иностранными на международном рынке.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Росатом работает над проектом замкнутого топливного цикла, который должен заработать в ближайшие годы. Его реализация сделает атомную энергетику ещё более безопасной и экологичной, что позволит получать чистую энергию без вреда для окружающей среды.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Таким образом, сегодня российские инженеры не просто работают на производствах, поддерживая их в текущем состоянии, — они создают технологии мирового уровня, решают сложнейшие научные задачи и делают нашу энергетику одной из самых передовых в мире.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 1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9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Заключение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Мы увидели, что Русская инженерная школа не осталась забыта на страницах учебников. Это живая, развивающаяся традиция, которая всегда отвечала на главные вызовы своего времени.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Её суть — в уникальном сочетании глубокой теоретической подготовки с обязательной практикой «в поле». Она основывается на обучении будущих инженеров высокого уровня ответственности за свою работу, развитии понимания, что от его решений завис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ят жизни людей и будущее страны. Все достижения Русской инженерной школы в XX веке — от плана ГОЭЛРО и первой в мире АЭС до единой энергосистемы огромной страны — доказывают, что наши специалисты способны решать задачи, которые другим кажутся невозможными.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Сегодня эта школа снова на передовой. Энергетическая стратегия до 2050 года — это не просто документ. Это карта будущего, которая указывает, что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предстоит построить и модернизировать мощности, сравнимые с половиной нынешней энергосистемы России. Это вызов, который потребует от вашего и последующих поколений находчивости, смекалки, умственного и физического труда.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усская инженерная школа ждёт своих новых творцов. Возможно, именно вы станете теми, кто через несколько десятилетий будет демонстрировать следующему поколению новые прорывы в науке и технике. Ведь инженер — это не просто профессия. Это способ изменять мир!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Слайд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ы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ru-RU"/>
        </w:rPr>
        <w:t xml:space="preserve">20-23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. Обратная связь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/>
      <w:bookmarkStart w:id="1" w:name="_heading=h.arlcsle2v5gd"/>
      <w:r/>
      <w:bookmarkEnd w:id="1"/>
      <w:r>
        <w:rPr>
          <w:rFonts w:ascii="Times New Roman" w:hAnsi="Times New Roman" w:eastAsia="Times New Roman" w:cs="Times New Roman"/>
          <w:sz w:val="28"/>
          <w:szCs w:val="28"/>
        </w:rPr>
        <w:t xml:space="preserve">Благодарю за внимание — надеюсь, эта лекция вдохновит вас на дальнейшее изучение темы. Прошу вас оставить обратную связь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ответив на вопросы которые видите на экранах своих смартфонов.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sectPr>
      <w:headerReference w:type="default" r:id="rId9"/>
      <w:headerReference w:type="first" r:id="rId10"/>
      <w:footerReference w:type="default" r:id="rId11"/>
      <w:footerReference w:type="first" r:id="rId12"/>
      <w:footnotePr/>
      <w:endnotePr/>
      <w:type w:val="nextPage"/>
      <w:pgSz w:w="11906" w:h="16838" w:orient="portrait"/>
      <w:pgMar w:top="1133" w:right="1132" w:bottom="964" w:left="1133" w:header="708" w:footer="708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Arial">
    <w:panose1 w:val="020B0604020202020204"/>
  </w:font>
  <w:font w:name="SimSun">
    <w:panose1 w:val="02020603020101020101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right"/>
      <w:spacing w:after="0" w:line="240" w:lineRule="auto"/>
      <w:tabs>
        <w:tab w:val="center" w:pos="4677" w:leader="none"/>
        <w:tab w:val="right" w:pos="9355" w:leader="none"/>
      </w:tabs>
      <w:rPr>
        <w:rFonts w:ascii="Times New Roman" w:hAnsi="Times New Roman" w:eastAsia="Times New Roman" w:cs="Times New Roman"/>
        <w:color w:val="000000"/>
        <w:sz w:val="28"/>
        <w:szCs w:val="28"/>
      </w:rPr>
    </w:pP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begin"/>
    </w:r>
    <w:r>
      <w:rPr>
        <w:rFonts w:ascii="Times New Roman" w:hAnsi="Times New Roman" w:eastAsia="Times New Roman" w:cs="Times New Roman"/>
        <w:color w:val="000000"/>
        <w:sz w:val="28"/>
        <w:szCs w:val="28"/>
      </w:rPr>
      <w:instrText xml:space="preserve">PAGE</w:instrText>
    </w: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separate"/>
    </w:r>
    <w:r>
      <w:rPr>
        <w:rFonts w:ascii="Times New Roman" w:hAnsi="Times New Roman" w:eastAsia="Times New Roman" w:cs="Times New Roman"/>
        <w:color w:val="000000"/>
        <w:sz w:val="28"/>
        <w:szCs w:val="28"/>
      </w:rPr>
      <w:t xml:space="preserve">2</w:t>
    </w:r>
    <w:r>
      <w:rPr>
        <w:rFonts w:ascii="Times New Roman" w:hAnsi="Times New Roman" w:eastAsia="Times New Roman" w:cs="Times New Roman"/>
        <w:color w:val="000000"/>
        <w:sz w:val="28"/>
        <w:szCs w:val="28"/>
      </w:rPr>
      <w:fldChar w:fldCharType="end"/>
    </w:r>
    <w:r>
      <w:rPr>
        <w:rFonts w:ascii="Times New Roman" w:hAnsi="Times New Roman" w:eastAsia="Times New Roman" w:cs="Times New Roman"/>
        <w:color w:val="000000"/>
        <w:sz w:val="28"/>
        <w:szCs w:val="28"/>
      </w:rPr>
    </w:r>
    <w:r>
      <w:rPr>
        <w:rFonts w:ascii="Times New Roman" w:hAnsi="Times New Roman" w:eastAsia="Times New Roman" w:cs="Times New Roman"/>
        <w:color w:val="000000"/>
        <w:sz w:val="28"/>
        <w:szCs w:val="28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pacing w:after="0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  <w:r>
      <w:rPr>
        <w:rFonts w:ascii="Times New Roman" w:hAnsi="Times New Roman" w:eastAsia="Times New Roman" w:cs="Times New Roman"/>
        <w:sz w:val="28"/>
        <w:szCs w:val="28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  <w:footnote w:id="2"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В настоящее время носит название МГТУ им. Баумана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3"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https://hmbul.bmstu.ru/articles/729/729.pdf (дата обращения: 06.03.2026)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4"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https://rocketmind.ru/blog/istoriya-dmitriya-sovetkina (дата обращения: 06.03.2026)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5"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https://promenergolider.ru/primary/«russkiy_metod_obucheniya_remeslam»_vchera_segodnya_zavtra (дата обращения: 06.03.2026)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6"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https://www.oboznik.ru/?p=26175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(дата обращения: 06.03.2026)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7"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https://bigenc.ru/c/tramvai-33053d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(дата обращения: 06.03.2026)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  <w:footnote w:id="8"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https://www.mosenergo-museum.ru/upload/iblock/129/129b98a23fe8521ac7fd7eac60b8dece.pdf 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(дата обращения: 06.03.2026)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9">
    <w:p>
      <w:pPr>
        <w:spacing w:after="0" w:line="240" w:lineRule="auto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 https://дваждыпобедители.рф/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</w:r>
    </w:p>
  </w:footnote>
  <w:footnote w:id="10">
    <w:p>
      <w:pPr>
        <w:spacing w:after="0" w:line="240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vertAlign w:val="superscript"/>
        </w:rPr>
        <w:footnoteRef/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https://istmat.org/node/17047 (дата обращения: 06.03.2026)</w:t>
      </w:r>
      <w:r>
        <w:rPr>
          <w:rFonts w:ascii="Times New Roman" w:hAnsi="Times New Roman" w:eastAsia="Times New Roman" w:cs="Times New Roman"/>
          <w:sz w:val="20"/>
          <w:szCs w:val="20"/>
        </w:rPr>
      </w:r>
      <w:r>
        <w:rPr>
          <w:rFonts w:ascii="Times New Roman" w:hAnsi="Times New Roman" w:eastAsia="Times New Roman" w:cs="Times New Roman"/>
          <w:sz w:val="20"/>
          <w:szCs w:val="20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8935" cy="384810"/>
              <wp:effectExtent l="0" t="0" r="0" b="0"/>
              <wp:docPr id="1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29.05pt;height:30.3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jc w:val="center"/>
      <w:spacing w:after="0" w:line="276" w:lineRule="auto"/>
    </w:pPr>
    <w:r>
      <w:rPr>
        <w:rFonts w:ascii="Arial" w:hAnsi="Arial" w:eastAsia="Arial" w:cs="Arial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638935" cy="384810"/>
              <wp:effectExtent l="0" t="0" r="0" b="0"/>
              <wp:docPr id="2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1.png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639408" cy="3849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9.05pt;height:30.3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6">
    <w:name w:val="Heading 1 Char"/>
    <w:basedOn w:val="995"/>
    <w:link w:val="986"/>
    <w:uiPriority w:val="9"/>
    <w:rPr>
      <w:rFonts w:ascii="Arial" w:hAnsi="Arial" w:eastAsia="Arial" w:cs="Arial"/>
      <w:sz w:val="40"/>
      <w:szCs w:val="40"/>
    </w:rPr>
  </w:style>
  <w:style w:type="character" w:styleId="827">
    <w:name w:val="Heading 2 Char"/>
    <w:basedOn w:val="995"/>
    <w:link w:val="987"/>
    <w:uiPriority w:val="9"/>
    <w:rPr>
      <w:rFonts w:ascii="Arial" w:hAnsi="Arial" w:eastAsia="Arial" w:cs="Arial"/>
      <w:sz w:val="34"/>
    </w:rPr>
  </w:style>
  <w:style w:type="character" w:styleId="828">
    <w:name w:val="Heading 3 Char"/>
    <w:basedOn w:val="995"/>
    <w:link w:val="988"/>
    <w:uiPriority w:val="9"/>
    <w:rPr>
      <w:rFonts w:ascii="Arial" w:hAnsi="Arial" w:eastAsia="Arial" w:cs="Arial"/>
      <w:sz w:val="30"/>
      <w:szCs w:val="30"/>
    </w:rPr>
  </w:style>
  <w:style w:type="character" w:styleId="829">
    <w:name w:val="Heading 4 Char"/>
    <w:basedOn w:val="995"/>
    <w:link w:val="989"/>
    <w:uiPriority w:val="9"/>
    <w:rPr>
      <w:rFonts w:ascii="Arial" w:hAnsi="Arial" w:eastAsia="Arial" w:cs="Arial"/>
      <w:b/>
      <w:bCs/>
      <w:sz w:val="26"/>
      <w:szCs w:val="26"/>
    </w:rPr>
  </w:style>
  <w:style w:type="character" w:styleId="830">
    <w:name w:val="Heading 5 Char"/>
    <w:basedOn w:val="995"/>
    <w:link w:val="990"/>
    <w:uiPriority w:val="9"/>
    <w:rPr>
      <w:rFonts w:ascii="Arial" w:hAnsi="Arial" w:eastAsia="Arial" w:cs="Arial"/>
      <w:b/>
      <w:bCs/>
      <w:sz w:val="24"/>
      <w:szCs w:val="24"/>
    </w:rPr>
  </w:style>
  <w:style w:type="character" w:styleId="831">
    <w:name w:val="Heading 6 Char"/>
    <w:basedOn w:val="995"/>
    <w:link w:val="991"/>
    <w:uiPriority w:val="9"/>
    <w:rPr>
      <w:rFonts w:ascii="Arial" w:hAnsi="Arial" w:eastAsia="Arial" w:cs="Arial"/>
      <w:b/>
      <w:bCs/>
      <w:sz w:val="22"/>
      <w:szCs w:val="22"/>
    </w:rPr>
  </w:style>
  <w:style w:type="character" w:styleId="832">
    <w:name w:val="Heading 7 Char"/>
    <w:basedOn w:val="995"/>
    <w:link w:val="9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3">
    <w:name w:val="Heading 8 Char"/>
    <w:basedOn w:val="995"/>
    <w:link w:val="993"/>
    <w:uiPriority w:val="9"/>
    <w:rPr>
      <w:rFonts w:ascii="Arial" w:hAnsi="Arial" w:eastAsia="Arial" w:cs="Arial"/>
      <w:i/>
      <w:iCs/>
      <w:sz w:val="22"/>
      <w:szCs w:val="22"/>
    </w:rPr>
  </w:style>
  <w:style w:type="character" w:styleId="834">
    <w:name w:val="Heading 9 Char"/>
    <w:basedOn w:val="995"/>
    <w:link w:val="994"/>
    <w:uiPriority w:val="9"/>
    <w:rPr>
      <w:rFonts w:ascii="Arial" w:hAnsi="Arial" w:eastAsia="Arial" w:cs="Arial"/>
      <w:i/>
      <w:iCs/>
      <w:sz w:val="21"/>
      <w:szCs w:val="21"/>
    </w:rPr>
  </w:style>
  <w:style w:type="paragraph" w:styleId="835">
    <w:name w:val="No Spacing"/>
    <w:uiPriority w:val="1"/>
    <w:qFormat/>
    <w:pPr>
      <w:spacing w:before="0" w:after="0" w:line="240" w:lineRule="auto"/>
    </w:pPr>
  </w:style>
  <w:style w:type="character" w:styleId="836">
    <w:name w:val="Title Char"/>
    <w:basedOn w:val="995"/>
    <w:link w:val="1006"/>
    <w:uiPriority w:val="10"/>
    <w:rPr>
      <w:sz w:val="48"/>
      <w:szCs w:val="48"/>
    </w:rPr>
  </w:style>
  <w:style w:type="character" w:styleId="837">
    <w:name w:val="Subtitle Char"/>
    <w:basedOn w:val="995"/>
    <w:link w:val="1008"/>
    <w:uiPriority w:val="11"/>
    <w:rPr>
      <w:sz w:val="24"/>
      <w:szCs w:val="24"/>
    </w:rPr>
  </w:style>
  <w:style w:type="character" w:styleId="838">
    <w:name w:val="Quote Char"/>
    <w:link w:val="1021"/>
    <w:uiPriority w:val="29"/>
    <w:rPr>
      <w:i/>
    </w:rPr>
  </w:style>
  <w:style w:type="character" w:styleId="839">
    <w:name w:val="Intense Quote Char"/>
    <w:link w:val="1025"/>
    <w:uiPriority w:val="30"/>
    <w:rPr>
      <w:i/>
    </w:rPr>
  </w:style>
  <w:style w:type="character" w:styleId="840">
    <w:name w:val="Header Char"/>
    <w:basedOn w:val="995"/>
    <w:link w:val="1005"/>
    <w:uiPriority w:val="99"/>
  </w:style>
  <w:style w:type="character" w:styleId="841">
    <w:name w:val="Footer Char"/>
    <w:basedOn w:val="995"/>
    <w:link w:val="1007"/>
    <w:uiPriority w:val="99"/>
  </w:style>
  <w:style w:type="paragraph" w:styleId="842">
    <w:name w:val="Caption"/>
    <w:basedOn w:val="985"/>
    <w:next w:val="9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3">
    <w:name w:val="Caption Char"/>
    <w:basedOn w:val="842"/>
    <w:link w:val="1007"/>
    <w:uiPriority w:val="99"/>
  </w:style>
  <w:style w:type="table" w:styleId="844">
    <w:name w:val="Table Grid"/>
    <w:basedOn w:val="9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5">
    <w:name w:val="Table Grid Light"/>
    <w:basedOn w:val="9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6">
    <w:name w:val="Plain Table 1"/>
    <w:basedOn w:val="99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7">
    <w:name w:val="Plain Table 2"/>
    <w:basedOn w:val="99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8">
    <w:name w:val="Plain Table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49">
    <w:name w:val="Plain Table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Plain Table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1">
    <w:name w:val="Grid Table 1 Light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Grid Table 1 Light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Grid Table 1 Light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Grid Table 2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Grid Table 2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3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4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3">
    <w:name w:val="Grid Table 4 - Accent 1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4">
    <w:name w:val="Grid Table 4 - Accent 2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5">
    <w:name w:val="Grid Table 4 - Accent 3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6">
    <w:name w:val="Grid Table 4 - Accent 4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7">
    <w:name w:val="Grid Table 4 - Accent 5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78">
    <w:name w:val="Grid Table 4 - Accent 6"/>
    <w:basedOn w:val="99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79">
    <w:name w:val="Grid Table 5 Dark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0">
    <w:name w:val="Grid Table 5 Dark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81">
    <w:name w:val="Grid Table 5 Dark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82">
    <w:name w:val="Grid Table 5 Dark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3">
    <w:name w:val="Grid Table 5 Dark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85">
    <w:name w:val="Grid Table 5 Dark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86">
    <w:name w:val="Grid Table 6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7">
    <w:name w:val="Grid Table 6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88">
    <w:name w:val="Grid Table 6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89">
    <w:name w:val="Grid Table 6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0">
    <w:name w:val="Grid Table 6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1">
    <w:name w:val="Grid Table 6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2">
    <w:name w:val="Grid Table 6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3">
    <w:name w:val="Grid Table 7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4">
    <w:name w:val="Grid Table 7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5">
    <w:name w:val="Grid Table 7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List Table 1 Light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List Table 1 Light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08">
    <w:name w:val="List Table 2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09">
    <w:name w:val="List Table 2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0">
    <w:name w:val="List Table 2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1">
    <w:name w:val="List Table 2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2">
    <w:name w:val="List Table 2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3">
    <w:name w:val="List Table 2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4">
    <w:name w:val="List Table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5">
    <w:name w:val="List Table 3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6">
    <w:name w:val="List Table 3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4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5 Dark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29">
    <w:name w:val="List Table 5 Dark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0">
    <w:name w:val="List Table 5 Dark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6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6">
    <w:name w:val="List Table 6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7">
    <w:name w:val="List Table 6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38">
    <w:name w:val="List Table 6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39">
    <w:name w:val="List Table 6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0">
    <w:name w:val="List Table 6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1">
    <w:name w:val="List Table 6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2">
    <w:name w:val="List Table 7 Colorful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3">
    <w:name w:val="List Table 7 Colorful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944">
    <w:name w:val="List Table 7 Colorful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945">
    <w:name w:val="List Table 7 Colorful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946">
    <w:name w:val="List Table 7 Colorful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947">
    <w:name w:val="List Table 7 Colorful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948">
    <w:name w:val="List Table 7 Colorful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949">
    <w:name w:val="Lined - Accent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0">
    <w:name w:val="Lined - Accent 1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51">
    <w:name w:val="Lined - Accent 2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2">
    <w:name w:val="Lined - Accent 3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53">
    <w:name w:val="Lined - Accent 4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54">
    <w:name w:val="Lined - Accent 5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55">
    <w:name w:val="Lined - Accent 6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56">
    <w:name w:val="Bordered &amp; Lined - Accent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7">
    <w:name w:val="Bordered &amp; Lined - Accent 1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958">
    <w:name w:val="Bordered &amp; Lined - Accent 2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959">
    <w:name w:val="Bordered &amp; Lined - Accent 3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960">
    <w:name w:val="Bordered &amp; Lined - Accent 4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961">
    <w:name w:val="Bordered &amp; Lined - Accent 5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962">
    <w:name w:val="Bordered &amp; Lined - Accent 6"/>
    <w:basedOn w:val="99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963">
    <w:name w:val="Bordered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4">
    <w:name w:val="Bordered - Accent 1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5">
    <w:name w:val="Bordered - Accent 2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6">
    <w:name w:val="Bordered - Accent 3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7">
    <w:name w:val="Bordered - Accent 4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68">
    <w:name w:val="Bordered - Accent 5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69">
    <w:name w:val="Bordered - Accent 6"/>
    <w:basedOn w:val="99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0">
    <w:name w:val="Footnote Text Char"/>
    <w:link w:val="1004"/>
    <w:uiPriority w:val="99"/>
    <w:rPr>
      <w:sz w:val="18"/>
    </w:rPr>
  </w:style>
  <w:style w:type="paragraph" w:styleId="971">
    <w:name w:val="endnote text"/>
    <w:basedOn w:val="985"/>
    <w:link w:val="972"/>
    <w:uiPriority w:val="99"/>
    <w:semiHidden/>
    <w:unhideWhenUsed/>
    <w:pPr>
      <w:spacing w:after="0" w:line="240" w:lineRule="auto"/>
    </w:pPr>
    <w:rPr>
      <w:sz w:val="20"/>
    </w:rPr>
  </w:style>
  <w:style w:type="character" w:styleId="972">
    <w:name w:val="Endnote Text Char"/>
    <w:link w:val="971"/>
    <w:uiPriority w:val="99"/>
    <w:rPr>
      <w:sz w:val="20"/>
    </w:rPr>
  </w:style>
  <w:style w:type="character" w:styleId="973">
    <w:name w:val="endnote reference"/>
    <w:basedOn w:val="995"/>
    <w:uiPriority w:val="99"/>
    <w:semiHidden/>
    <w:unhideWhenUsed/>
    <w:rPr>
      <w:vertAlign w:val="superscript"/>
    </w:rPr>
  </w:style>
  <w:style w:type="paragraph" w:styleId="974">
    <w:name w:val="toc 1"/>
    <w:basedOn w:val="985"/>
    <w:next w:val="985"/>
    <w:uiPriority w:val="39"/>
    <w:unhideWhenUsed/>
    <w:pPr>
      <w:ind w:left="0" w:right="0" w:firstLine="0"/>
      <w:spacing w:after="57"/>
    </w:pPr>
  </w:style>
  <w:style w:type="paragraph" w:styleId="975">
    <w:name w:val="toc 2"/>
    <w:basedOn w:val="985"/>
    <w:next w:val="985"/>
    <w:uiPriority w:val="39"/>
    <w:unhideWhenUsed/>
    <w:pPr>
      <w:ind w:left="283" w:right="0" w:firstLine="0"/>
      <w:spacing w:after="57"/>
    </w:pPr>
  </w:style>
  <w:style w:type="paragraph" w:styleId="976">
    <w:name w:val="toc 3"/>
    <w:basedOn w:val="985"/>
    <w:next w:val="985"/>
    <w:uiPriority w:val="39"/>
    <w:unhideWhenUsed/>
    <w:pPr>
      <w:ind w:left="567" w:right="0" w:firstLine="0"/>
      <w:spacing w:after="57"/>
    </w:pPr>
  </w:style>
  <w:style w:type="paragraph" w:styleId="977">
    <w:name w:val="toc 4"/>
    <w:basedOn w:val="985"/>
    <w:next w:val="985"/>
    <w:uiPriority w:val="39"/>
    <w:unhideWhenUsed/>
    <w:pPr>
      <w:ind w:left="850" w:right="0" w:firstLine="0"/>
      <w:spacing w:after="57"/>
    </w:pPr>
  </w:style>
  <w:style w:type="paragraph" w:styleId="978">
    <w:name w:val="toc 5"/>
    <w:basedOn w:val="985"/>
    <w:next w:val="985"/>
    <w:uiPriority w:val="39"/>
    <w:unhideWhenUsed/>
    <w:pPr>
      <w:ind w:left="1134" w:right="0" w:firstLine="0"/>
      <w:spacing w:after="57"/>
    </w:pPr>
  </w:style>
  <w:style w:type="paragraph" w:styleId="979">
    <w:name w:val="toc 6"/>
    <w:basedOn w:val="985"/>
    <w:next w:val="985"/>
    <w:uiPriority w:val="39"/>
    <w:unhideWhenUsed/>
    <w:pPr>
      <w:ind w:left="1417" w:right="0" w:firstLine="0"/>
      <w:spacing w:after="57"/>
    </w:pPr>
  </w:style>
  <w:style w:type="paragraph" w:styleId="980">
    <w:name w:val="toc 7"/>
    <w:basedOn w:val="985"/>
    <w:next w:val="985"/>
    <w:uiPriority w:val="39"/>
    <w:unhideWhenUsed/>
    <w:pPr>
      <w:ind w:left="1701" w:right="0" w:firstLine="0"/>
      <w:spacing w:after="57"/>
    </w:pPr>
  </w:style>
  <w:style w:type="paragraph" w:styleId="981">
    <w:name w:val="toc 8"/>
    <w:basedOn w:val="985"/>
    <w:next w:val="985"/>
    <w:uiPriority w:val="39"/>
    <w:unhideWhenUsed/>
    <w:pPr>
      <w:ind w:left="1984" w:right="0" w:firstLine="0"/>
      <w:spacing w:after="57"/>
    </w:pPr>
  </w:style>
  <w:style w:type="paragraph" w:styleId="982">
    <w:name w:val="toc 9"/>
    <w:basedOn w:val="985"/>
    <w:next w:val="985"/>
    <w:uiPriority w:val="39"/>
    <w:unhideWhenUsed/>
    <w:pPr>
      <w:ind w:left="2268" w:right="0" w:firstLine="0"/>
      <w:spacing w:after="57"/>
    </w:pPr>
  </w:style>
  <w:style w:type="paragraph" w:styleId="983">
    <w:name w:val="TOC Heading"/>
    <w:uiPriority w:val="39"/>
    <w:unhideWhenUsed/>
  </w:style>
  <w:style w:type="paragraph" w:styleId="984">
    <w:name w:val="table of figures"/>
    <w:basedOn w:val="985"/>
    <w:next w:val="985"/>
    <w:uiPriority w:val="99"/>
    <w:unhideWhenUsed/>
    <w:pPr>
      <w:spacing w:after="0" w:afterAutospacing="0"/>
    </w:pPr>
  </w:style>
  <w:style w:type="paragraph" w:styleId="985" w:default="1">
    <w:name w:val="Normal"/>
    <w:pPr>
      <w:spacing w:after="160" w:line="259" w:lineRule="auto"/>
    </w:pPr>
    <w:rPr>
      <w:rFonts w:ascii="Calibri" w:hAnsi="Calibri" w:eastAsia="Calibri" w:cs="Calibri"/>
      <w:sz w:val="22"/>
      <w:szCs w:val="22"/>
      <w:lang w:val="ru"/>
    </w:rPr>
  </w:style>
  <w:style w:type="paragraph" w:styleId="986">
    <w:name w:val="Heading 1"/>
    <w:basedOn w:val="985"/>
    <w:next w:val="985"/>
    <w:qFormat/>
    <w:pPr>
      <w:keepLines/>
      <w:keepNext/>
      <w:spacing w:before="360" w:after="80"/>
      <w:outlineLvl w:val="0"/>
    </w:pPr>
    <w:rPr>
      <w:color w:val="2f5496"/>
      <w:sz w:val="40"/>
      <w:szCs w:val="40"/>
    </w:rPr>
  </w:style>
  <w:style w:type="paragraph" w:styleId="987">
    <w:name w:val="Heading 2"/>
    <w:basedOn w:val="985"/>
    <w:next w:val="985"/>
    <w:qFormat/>
    <w:pPr>
      <w:keepLines/>
      <w:keepNext/>
      <w:spacing w:before="160" w:after="80"/>
      <w:outlineLvl w:val="1"/>
    </w:pPr>
    <w:rPr>
      <w:color w:val="2f5496"/>
      <w:sz w:val="32"/>
      <w:szCs w:val="32"/>
    </w:rPr>
  </w:style>
  <w:style w:type="paragraph" w:styleId="988">
    <w:name w:val="Heading 3"/>
    <w:basedOn w:val="985"/>
    <w:next w:val="985"/>
    <w:qFormat/>
    <w:pPr>
      <w:keepLines/>
      <w:keepNext/>
      <w:spacing w:before="160" w:after="80"/>
      <w:outlineLvl w:val="2"/>
    </w:pPr>
    <w:rPr>
      <w:color w:val="2f5496"/>
      <w:sz w:val="28"/>
      <w:szCs w:val="28"/>
    </w:rPr>
  </w:style>
  <w:style w:type="paragraph" w:styleId="989">
    <w:name w:val="Heading 4"/>
    <w:basedOn w:val="985"/>
    <w:next w:val="985"/>
    <w:qFormat/>
    <w:pPr>
      <w:keepLines/>
      <w:keepNext/>
      <w:spacing w:before="80" w:after="40"/>
      <w:outlineLvl w:val="3"/>
    </w:pPr>
    <w:rPr>
      <w:i/>
      <w:iCs/>
      <w:color w:val="2f5496"/>
    </w:rPr>
  </w:style>
  <w:style w:type="paragraph" w:styleId="990">
    <w:name w:val="Heading 5"/>
    <w:basedOn w:val="985"/>
    <w:next w:val="985"/>
    <w:qFormat/>
    <w:pPr>
      <w:keepLines/>
      <w:keepNext/>
      <w:spacing w:before="80" w:after="40"/>
      <w:outlineLvl w:val="4"/>
    </w:pPr>
    <w:rPr>
      <w:color w:val="2f5496"/>
    </w:rPr>
  </w:style>
  <w:style w:type="paragraph" w:styleId="991">
    <w:name w:val="Heading 6"/>
    <w:basedOn w:val="985"/>
    <w:next w:val="985"/>
    <w:qFormat/>
    <w:pPr>
      <w:keepLines/>
      <w:keepNext/>
      <w:spacing w:before="40" w:after="0"/>
      <w:outlineLvl w:val="5"/>
    </w:pPr>
    <w:rPr>
      <w:i/>
      <w:iCs/>
      <w:color w:val="595959"/>
    </w:rPr>
  </w:style>
  <w:style w:type="paragraph" w:styleId="992">
    <w:name w:val="Heading 7"/>
    <w:link w:val="1016"/>
    <w:uiPriority w:val="9"/>
    <w:semiHidden/>
    <w:unhideWhenUsed/>
    <w:qFormat/>
    <w:pPr>
      <w:keepLines/>
      <w:keepNext/>
      <w:spacing w:before="40" w:line="259" w:lineRule="auto"/>
      <w:outlineLvl w:val="6"/>
    </w:pPr>
    <w:rPr>
      <w:rFonts w:ascii="Calibri" w:hAnsi="Calibri" w:eastAsiaTheme="majorEastAsia" w:cstheme="majorBidi"/>
      <w:color w:val="595959" w:themeColor="text1" w:themeTint="A6"/>
      <w:sz w:val="22"/>
      <w:szCs w:val="22"/>
      <w:lang w:val="ru"/>
    </w:rPr>
  </w:style>
  <w:style w:type="paragraph" w:styleId="993">
    <w:name w:val="Heading 8"/>
    <w:link w:val="1017"/>
    <w:uiPriority w:val="9"/>
    <w:semiHidden/>
    <w:unhideWhenUsed/>
    <w:qFormat/>
    <w:pPr>
      <w:keepLines/>
      <w:keepNext/>
      <w:spacing w:line="259" w:lineRule="auto"/>
      <w:outlineLvl w:val="7"/>
    </w:pPr>
    <w:rPr>
      <w:rFonts w:ascii="Calibri" w:hAnsi="Calibri" w:eastAsiaTheme="majorEastAsia" w:cstheme="majorBidi"/>
      <w:i/>
      <w:iCs/>
      <w:color w:val="262626" w:themeColor="text1" w:themeTint="D9"/>
      <w:sz w:val="22"/>
      <w:szCs w:val="22"/>
      <w:lang w:val="ru"/>
    </w:rPr>
  </w:style>
  <w:style w:type="paragraph" w:styleId="994">
    <w:name w:val="Heading 9"/>
    <w:link w:val="1018"/>
    <w:uiPriority w:val="9"/>
    <w:semiHidden/>
    <w:unhideWhenUsed/>
    <w:qFormat/>
    <w:pPr>
      <w:keepLines/>
      <w:keepNext/>
      <w:spacing w:line="259" w:lineRule="auto"/>
      <w:outlineLvl w:val="8"/>
    </w:pPr>
    <w:rPr>
      <w:rFonts w:ascii="Calibri" w:hAnsi="Calibri" w:eastAsiaTheme="majorEastAsia" w:cstheme="majorBidi"/>
      <w:color w:val="262626" w:themeColor="text1" w:themeTint="D9"/>
      <w:sz w:val="22"/>
      <w:szCs w:val="22"/>
      <w:lang w:val="ru"/>
    </w:rPr>
  </w:style>
  <w:style w:type="character" w:styleId="995" w:default="1">
    <w:name w:val="Default Paragraph Font"/>
    <w:uiPriority w:val="1"/>
    <w:semiHidden/>
    <w:unhideWhenUsed/>
  </w:style>
  <w:style w:type="table" w:styleId="99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7" w:default="1">
    <w:name w:val="No List"/>
    <w:uiPriority w:val="99"/>
    <w:semiHidden/>
    <w:unhideWhenUsed/>
  </w:style>
  <w:style w:type="character" w:styleId="998">
    <w:name w:val="footnote reference"/>
    <w:basedOn w:val="995"/>
    <w:uiPriority w:val="99"/>
    <w:semiHidden/>
    <w:unhideWhenUsed/>
    <w:qFormat/>
    <w:rPr>
      <w:vertAlign w:val="superscript"/>
    </w:rPr>
  </w:style>
  <w:style w:type="character" w:styleId="999">
    <w:name w:val="annotation reference"/>
    <w:basedOn w:val="995"/>
    <w:uiPriority w:val="99"/>
    <w:semiHidden/>
    <w:unhideWhenUsed/>
    <w:qFormat/>
    <w:rPr>
      <w:sz w:val="16"/>
      <w:szCs w:val="16"/>
    </w:rPr>
  </w:style>
  <w:style w:type="character" w:styleId="1000">
    <w:name w:val="Hyperlink"/>
    <w:basedOn w:val="995"/>
    <w:uiPriority w:val="99"/>
    <w:unhideWhenUsed/>
    <w:qFormat/>
    <w:rPr>
      <w:color w:val="0563c1" w:themeColor="hyperlink"/>
      <w:u w:val="single"/>
    </w:rPr>
  </w:style>
  <w:style w:type="character" w:styleId="1001">
    <w:name w:val="Strong"/>
    <w:basedOn w:val="995"/>
    <w:uiPriority w:val="22"/>
    <w:qFormat/>
    <w:rPr>
      <w:b/>
      <w:bCs/>
    </w:rPr>
  </w:style>
  <w:style w:type="paragraph" w:styleId="1002">
    <w:name w:val="annotation text"/>
    <w:link w:val="1030"/>
    <w:uiPriority w:val="99"/>
    <w:semiHidden/>
    <w:unhideWhenUsed/>
    <w:qFormat/>
    <w:pPr>
      <w:spacing w:after="160"/>
    </w:pPr>
    <w:rPr>
      <w:rFonts w:ascii="Calibri" w:hAnsi="Calibri" w:eastAsia="Calibri" w:cs="Calibri"/>
      <w:lang w:val="ru"/>
    </w:rPr>
  </w:style>
  <w:style w:type="paragraph" w:styleId="1003">
    <w:name w:val="annotation subject"/>
    <w:basedOn w:val="1002"/>
    <w:next w:val="1002"/>
    <w:link w:val="1031"/>
    <w:uiPriority w:val="99"/>
    <w:semiHidden/>
    <w:unhideWhenUsed/>
    <w:qFormat/>
    <w:rPr>
      <w:b/>
      <w:bCs/>
    </w:rPr>
  </w:style>
  <w:style w:type="paragraph" w:styleId="1004">
    <w:name w:val="footnote text"/>
    <w:link w:val="1029"/>
    <w:uiPriority w:val="99"/>
    <w:semiHidden/>
    <w:unhideWhenUsed/>
    <w:qFormat/>
    <w:rPr>
      <w:rFonts w:ascii="Calibri" w:hAnsi="Calibri" w:eastAsia="Calibri" w:cs="Calibri"/>
      <w:lang w:val="ru"/>
    </w:rPr>
  </w:style>
  <w:style w:type="paragraph" w:styleId="1005">
    <w:name w:val="Header"/>
    <w:link w:val="1032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  <w:lang w:val="ru"/>
    </w:rPr>
  </w:style>
  <w:style w:type="paragraph" w:styleId="1006">
    <w:name w:val="Title"/>
    <w:basedOn w:val="985"/>
    <w:next w:val="985"/>
    <w:qFormat/>
    <w:pPr>
      <w:spacing w:after="80" w:line="240" w:lineRule="auto"/>
    </w:pPr>
    <w:rPr>
      <w:sz w:val="56"/>
      <w:szCs w:val="56"/>
    </w:rPr>
  </w:style>
  <w:style w:type="paragraph" w:styleId="1007">
    <w:name w:val="Footer"/>
    <w:link w:val="1033"/>
    <w:uiPriority w:val="99"/>
    <w:unhideWhenUsed/>
    <w:qFormat/>
    <w:pPr>
      <w:tabs>
        <w:tab w:val="center" w:pos="4677" w:leader="none"/>
        <w:tab w:val="right" w:pos="9355" w:leader="none"/>
      </w:tabs>
    </w:pPr>
    <w:rPr>
      <w:rFonts w:ascii="Calibri" w:hAnsi="Calibri" w:eastAsia="Calibri" w:cs="Calibri"/>
      <w:sz w:val="22"/>
      <w:szCs w:val="22"/>
      <w:lang w:val="ru"/>
    </w:rPr>
  </w:style>
  <w:style w:type="paragraph" w:styleId="1008">
    <w:name w:val="Subtitle"/>
    <w:basedOn w:val="985"/>
    <w:next w:val="985"/>
    <w:qFormat/>
    <w:rPr>
      <w:color w:val="595959"/>
      <w:sz w:val="28"/>
      <w:szCs w:val="28"/>
    </w:rPr>
  </w:style>
  <w:style w:type="table" w:styleId="1009" w:customStyle="1">
    <w:name w:val="TableNormal"/>
    <w:qFormat/>
    <w:tblPr>
      <w:tblCellMar>
        <w:left w:w="100" w:type="dxa"/>
        <w:top w:w="100" w:type="dxa"/>
        <w:right w:w="100" w:type="dxa"/>
        <w:bottom w:w="100" w:type="dxa"/>
      </w:tblCellMar>
    </w:tblPr>
  </w:style>
  <w:style w:type="character" w:styleId="1010" w:customStyle="1">
    <w:name w:val="Заголовок 1 Знак"/>
    <w:basedOn w:val="995"/>
    <w:uiPriority w:val="9"/>
    <w:qFormat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1011" w:customStyle="1">
    <w:name w:val="Заголовок 2 Знак"/>
    <w:basedOn w:val="995"/>
    <w:uiPriority w:val="9"/>
    <w:semiHidden/>
    <w:qFormat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1012" w:customStyle="1">
    <w:name w:val="Заголовок 3 Знак"/>
    <w:basedOn w:val="995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styleId="1013" w:customStyle="1">
    <w:name w:val="Заголовок 4 Знак"/>
    <w:basedOn w:val="995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styleId="1014" w:customStyle="1">
    <w:name w:val="Заголовок 5 Знак"/>
    <w:basedOn w:val="99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styleId="1015" w:customStyle="1">
    <w:name w:val="Заголовок 6 Знак"/>
    <w:basedOn w:val="995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styleId="1016" w:customStyle="1">
    <w:name w:val="Заголовок 7 Знак"/>
    <w:basedOn w:val="995"/>
    <w:link w:val="992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styleId="1017" w:customStyle="1">
    <w:name w:val="Заголовок 8 Знак"/>
    <w:basedOn w:val="995"/>
    <w:link w:val="993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styleId="1018" w:customStyle="1">
    <w:name w:val="Заголовок 9 Знак"/>
    <w:basedOn w:val="995"/>
    <w:link w:val="994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styleId="1019" w:customStyle="1">
    <w:name w:val="Заголовок Знак"/>
    <w:basedOn w:val="995"/>
    <w:uiPriority w:val="10"/>
    <w:qFormat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1020" w:customStyle="1">
    <w:name w:val="Подзаголовок Знак"/>
    <w:basedOn w:val="99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1021">
    <w:name w:val="Quote"/>
    <w:link w:val="1022"/>
    <w:uiPriority w:val="29"/>
    <w:qFormat/>
    <w:pPr>
      <w:jc w:val="center"/>
      <w:spacing w:before="160" w:after="160" w:line="259" w:lineRule="auto"/>
    </w:pPr>
    <w:rPr>
      <w:rFonts w:ascii="Calibri" w:hAnsi="Calibri" w:eastAsia="Calibri" w:cs="Calibri"/>
      <w:i/>
      <w:iCs/>
      <w:color w:val="404040" w:themeColor="text1" w:themeTint="BF"/>
      <w:sz w:val="22"/>
      <w:szCs w:val="22"/>
      <w:lang w:val="ru"/>
    </w:rPr>
  </w:style>
  <w:style w:type="character" w:styleId="1022" w:customStyle="1">
    <w:name w:val="Цитата 2 Знак"/>
    <w:basedOn w:val="995"/>
    <w:link w:val="1021"/>
    <w:uiPriority w:val="29"/>
    <w:qFormat/>
    <w:rPr>
      <w:i/>
      <w:iCs/>
      <w:color w:val="404040" w:themeColor="text1" w:themeTint="BF"/>
    </w:rPr>
  </w:style>
  <w:style w:type="paragraph" w:styleId="1023">
    <w:name w:val="List Paragraph"/>
    <w:uiPriority w:val="34"/>
    <w:qFormat/>
    <w:pPr>
      <w:contextualSpacing/>
      <w:ind w:left="720"/>
      <w:spacing w:after="160" w:line="259" w:lineRule="auto"/>
    </w:pPr>
    <w:rPr>
      <w:rFonts w:ascii="Calibri" w:hAnsi="Calibri" w:eastAsia="Calibri" w:cs="Calibri"/>
      <w:sz w:val="22"/>
      <w:szCs w:val="22"/>
      <w:lang w:val="ru"/>
    </w:rPr>
  </w:style>
  <w:style w:type="character" w:styleId="1024" w:customStyle="1">
    <w:name w:val="Сильное выделение1"/>
    <w:basedOn w:val="995"/>
    <w:uiPriority w:val="21"/>
    <w:qFormat/>
    <w:rPr>
      <w:i/>
      <w:iCs/>
      <w:color w:val="2f5496" w:themeColor="accent1" w:themeShade="BF"/>
    </w:rPr>
  </w:style>
  <w:style w:type="paragraph" w:styleId="1025">
    <w:name w:val="Intense Quote"/>
    <w:link w:val="1026"/>
    <w:uiPriority w:val="30"/>
    <w:qFormat/>
    <w:pPr>
      <w:ind w:left="864" w:right="864"/>
      <w:jc w:val="center"/>
      <w:spacing w:before="360" w:after="360" w:line="259" w:lineRule="auto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rFonts w:ascii="Calibri" w:hAnsi="Calibri" w:eastAsia="Calibri" w:cs="Calibri"/>
      <w:i/>
      <w:iCs/>
      <w:color w:val="2f5496" w:themeColor="accent1" w:themeShade="BF"/>
      <w:sz w:val="22"/>
      <w:szCs w:val="22"/>
      <w:lang w:val="ru"/>
    </w:rPr>
  </w:style>
  <w:style w:type="character" w:styleId="1026" w:customStyle="1">
    <w:name w:val="Выделенная цитата Знак"/>
    <w:basedOn w:val="995"/>
    <w:link w:val="1025"/>
    <w:uiPriority w:val="30"/>
    <w:qFormat/>
    <w:rPr>
      <w:i/>
      <w:iCs/>
      <w:color w:val="2f5496" w:themeColor="accent1" w:themeShade="BF"/>
    </w:rPr>
  </w:style>
  <w:style w:type="character" w:styleId="1027" w:customStyle="1">
    <w:name w:val="Сильная ссылка1"/>
    <w:basedOn w:val="995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1028" w:customStyle="1">
    <w:name w:val="Неразрешенное упоминание1"/>
    <w:basedOn w:val="995"/>
    <w:uiPriority w:val="99"/>
    <w:semiHidden/>
    <w:unhideWhenUsed/>
    <w:qFormat/>
    <w:rPr>
      <w:color w:val="605e5c"/>
      <w:shd w:val="clear" w:color="auto" w:fill="e1dfdd"/>
    </w:rPr>
  </w:style>
  <w:style w:type="character" w:styleId="1029" w:customStyle="1">
    <w:name w:val="Текст сноски Знак"/>
    <w:basedOn w:val="995"/>
    <w:link w:val="1004"/>
    <w:uiPriority w:val="99"/>
    <w:semiHidden/>
    <w:qFormat/>
    <w:rPr>
      <w:sz w:val="20"/>
      <w:szCs w:val="20"/>
    </w:rPr>
  </w:style>
  <w:style w:type="character" w:styleId="1030" w:customStyle="1">
    <w:name w:val="Текст примечания Знак"/>
    <w:basedOn w:val="995"/>
    <w:link w:val="1002"/>
    <w:uiPriority w:val="99"/>
    <w:semiHidden/>
    <w:qFormat/>
    <w:rPr>
      <w:sz w:val="20"/>
      <w:szCs w:val="20"/>
    </w:rPr>
  </w:style>
  <w:style w:type="character" w:styleId="1031" w:customStyle="1">
    <w:name w:val="Тема примечания Знак"/>
    <w:basedOn w:val="1030"/>
    <w:link w:val="1003"/>
    <w:uiPriority w:val="99"/>
    <w:semiHidden/>
    <w:qFormat/>
    <w:rPr>
      <w:b/>
      <w:bCs/>
      <w:sz w:val="20"/>
      <w:szCs w:val="20"/>
    </w:rPr>
  </w:style>
  <w:style w:type="character" w:styleId="1032" w:customStyle="1">
    <w:name w:val="Верхний колонтитул Знак"/>
    <w:basedOn w:val="995"/>
    <w:link w:val="1005"/>
    <w:uiPriority w:val="99"/>
    <w:qFormat/>
  </w:style>
  <w:style w:type="character" w:styleId="1033" w:customStyle="1">
    <w:name w:val="Нижний колонтитул Знак"/>
    <w:basedOn w:val="995"/>
    <w:link w:val="1007"/>
    <w:uiPriority w:val="99"/>
  </w:style>
  <w:style w:type="character" w:styleId="1034" w:customStyle="1">
    <w:name w:val="Неразрешенное упоминание2"/>
    <w:basedOn w:val="995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1wLHAfGIrW4XAcaDyl/fPt9DiQ==">CgMxLjAyDWguNzl0cjZheXdodXEyDmguYXJsY3NsZTJ2NWdkOAByITF0bVQxNFNsOUlKNVNSckZRNGhGclN6XzhxelpEOFJkWA==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Громов В.И.</dc:creator>
  <cp:lastModifiedBy>Федор Левицкий</cp:lastModifiedBy>
  <cp:revision>7</cp:revision>
  <dcterms:created xsi:type="dcterms:W3CDTF">2026-02-27T14:45:00Z</dcterms:created>
  <dcterms:modified xsi:type="dcterms:W3CDTF">2026-03-12T15:55:00Z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DE865696F54449019E8407628F2AA2CA_13</vt:lpwstr>
  </property>
</Properties>
</file>