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/>
          <w:lang w:val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Чернобыль. Время осмысления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лекция разработана при экспертной поддержке </w:t>
        <w:br/>
        <w:t xml:space="preserve">государственной корпорации по атомной энергии «Росатом»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</w:p>
    <w:p>
      <w:pPr>
        <w:jc w:val="righ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2026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у учащихся комплексное 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ставление о Чернобыльской аварии как о сложном технологическом вызове, который был встречен организованными действиями государства и общества, а также стал важным этапом в развитии культуры безопасности и международного сотрудничества в атомной энергетике.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"/>
        </w:numPr>
        <w:ind w:firstLine="709"/>
        <w:jc w:val="both"/>
        <w:spacing w:after="0" w:line="360" w:lineRule="auto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Развить у учащихся навыки критического анализа информации о техногенных катастрофах, умение различать факты, оценки и интерпретации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09"/>
        <w:jc w:val="both"/>
        <w:spacing w:after="0" w:line="360" w:lineRule="auto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Дать слушателям компактную, фактологическую информацию о Чернобыльской АЭС, об аварии и её причинах.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09"/>
        <w:jc w:val="both"/>
        <w:spacing w:after="0" w:line="360" w:lineRule="auto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Продемонстрировать последовательность событий, эффективность действий при ликвидации последствий аварии и логику принятия решений в условиях ограниченной информации и времени.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09"/>
        <w:jc w:val="both"/>
        <w:spacing w:after="0" w:line="360" w:lineRule="auto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положительную оценку действий государственных органов при ликвидации последствий аварии.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09"/>
        <w:jc w:val="both"/>
        <w:spacing w:after="0" w:line="360" w:lineRule="auto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Показать единение народа и государства через работу ликвидаторов аварии на ЧАЭС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09"/>
        <w:jc w:val="both"/>
        <w:spacing w:after="0" w:line="360" w:lineRule="auto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Показать значение международного сотрудничества в решении последствий аварии и развитии ядерной безопасности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09"/>
        <w:jc w:val="both"/>
        <w:spacing w:after="0" w:line="360" w:lineRule="auto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понимание, что современная атомная энергетика основана на строгих нормах безопасности, постоянном совершенствовании технологий и требует высочайшего уровня профессионализма, ответственности и бдительности от всех участников процесса.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жизнь;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гражданственность;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служение Отечеству и ответственность за его судьбу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Историческое просвещение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Продолжительность: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школьники 10-11 классов.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Тип методического материала: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лекция.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сценарий, презентация,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1. Инструкция к интерум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26 апреля 1986 года на четвёртом энергоблоке Чернобыльской АЭС произошла одна из самых известных в мире техногенных аварий. Эта дата стала одной из ключевых в истории мировой энергетики и навсегда изменила отношение человечества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вопросам технологической безопасности. Сегодня, через сорок лет, мы обращаемся к этим событиям не для того, чтобы рассказать известные факты, а чтобы разобраться: как возникла авария, как успешно удалось ликвидировать последствия и какие выводы извлекло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мировое сообщество. Главное, что показал Чернобыль: в чрезвычайной ситуации решающее значение имеют не только отдельные героические действия, но и системная ответственность, профессионализм, осознанность и способность людей действовать как единая команда.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Регистрация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5"/>
        <w:ind w:firstLine="700"/>
        <w:jc w:val="both"/>
        <w:spacing w:after="0" w:line="36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чем мы продолжим, прошу вас зарегистрироваться по QR-коду, который вы видите на экране, и заполнить короткую форму — это займёт всего пару минут. Спасибо за вашу активность и вовлечённость!</w:t>
      </w:r>
      <w:r/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4.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 История ЧАЭС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 масштаб аварии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последующих событий, стоит разобраться, какое место атомная энергетика занимала в жизни страны. Советская программа строительства АЭС начала складываться в 1950-е годы. В 1954 году была запущена Обнинская АЭС — первая в мире промышленная атомная электро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станция. После этого руководство страны сделало ставку на широкое использование мирного атома для обеспечения растущих потребностей промышленности и населения. В 1960–1970-е годы темпы атомного строительства резко возросли: вводятся в строй Ленинградская,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Курская и другие станции. Формируются типовые проекты реакторов. К началу 1980-х годов СССР становится одним из мировых лидеров по объёму атомной генерации, а атомная энергетика воспринимается как символ научно-технического прогресса.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1970 году на берегу реки Припяти, в восемнадцати киломе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трах от города Чернобыль, начинается строительство Чернобыльской АЭС. В трёх километрах от станции вырастает новый город — Припять, жизнь которого полностью связана с работой станции. К весне 1986 года здесь проживает более сорока девяти тысяч человек.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самой станции работают четыре энергоблока с реакторами мощностью по 1000 МВт каждый — это была одна из крупнейших АЭС в Советском Союзе. Чтобы понять, насколько она была мощной, можно сказать, что один реактор ЧАЭС мог питать 10 миллионов обычных лампочек.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Принцип работы атомного реактора на ЧАЭС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Прежде чем рассказывать об аварии, необходимо обозначить, как устроена атомная электростанция. Ядерный реактор — это устройство, в котором происходит контролируемая цепная реакция деления атомных ядер, которая сопровождается выделением энергии.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(Нейтрон, частица без заряда, сталкивается с ядром атома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 делящегося материала — урана или плутония, — ядро раскалывается на два фрагмента, выделяя энергию и несколько новых нейтронов, которые, в свою очередь, вызывают деление следующих ядер. Так возникает цепная реакция, при которой происходит нагрев топлива.)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Топливом для реактора в основном являются изотопы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рана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лутония. Один килограмм урана способен произвести столько же электроэнергии, сколько производит сжигание сотни тонн угля, — именно это делает ядерную энергетику одной из самых эффективных.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Чтобы реакция оставалась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управляемой её безопасность обеспечивается многократным дублированием защитных механизмов. Управляющие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стержни, изготовленные из материалов-поглотителей нейтронов (нап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ример, боросодержащих сплавов), вводятся в активную зону или выводятся из неё, регулируя интенсивность реакции. Система охлаждения отводит колоссальное количество тепла: вода под давлением циркулирует через активную зону, нагревается, превращается в пар,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оторый вращает турбины и приводит в действие генераторы электричества. Наконец, корпус реактора и многоуровневые системы безопасности — включая аварийное охлаждение и защитные барьеры — удерживают радиоактивные материалы внутри и защищают окружающую среду.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Важно понимать: при соблюдении всех правил и процедур эта система считается высоконадежной, её безопасность обеспечивается многократным дублированием защитных механизмов.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Причины аварии: цепочка решений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25 апреля 1986 года четвёртый энергоблок планировалось остановить для планового ремонта. Остановку решили совместить с экспериментом, проверить, как долго станция сможет обеспечивать себя электроэнергие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й, используя отключенный и остывающий реактор для выработки пара, который вращал турбину генератора. Подобные испытания на ЧАЭС проводились и раньше, однако на этот раз рабочая программа эксперимента не была согласована с учеными и вышестоящим начальством.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 началом испытаний была отключена систем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аварийного охлаждения реактора (САОР), а мощность реактора стали снижать, готовясь к остановке. Однако в подготовительные работы вмешались энергетики. Они потребовали, чтобы станцию заглушили позднее, потому что в энергосети региона не хватало мощности.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Из-за этого отключение реактора и сам эксперимент отложили на 11 часов.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Дневная смена сотрудников АЭС, которая готовилась к эксперименту и знала программу, сменилась вечерней, а затем и ночной сменой. Ночные операторы, ожидавшие работу с остановленным и остывающим реактором, узнали о предстоящих испытаниях уже на месте.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Далее события развивались лави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нообразно.  У реактора ЧАЭС была конструктивная особенность, о которой на тот момент еще не знали: при снижении мощности его управляемость снижалась, работа реактора становилась нестабильной. Перед началом эксперимента мощность реактора «провалилась» ниже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мегаватт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(при  нормально мощности работы от 400 до 1000 мВт)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Персонал станции, пытаясь поднять мощность и разогнать реактор,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создал условия для развития неконтролируемой реакции в реакторе. Примерно за полторы минуты до катастрофы приборы показали, что запас реактивности достиг критически низких значений, требующих немедленной остановки. Тем не менее персонал продолжил испытания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пытаясь поднять мощность. Более того — аварийная защита была специально заблокирована, чтобы иметь возможность повторить эксперимент в случае неудачи.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Таким образом были нарушены все правила безопасности – отключены все основные системы контроля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Когда температура реакт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ора начала быстро расти, сотрудники попытались опустить графитовые стержни, которые в опущенном состоянии должны были затормозить реакцию, однако до конца довести это дело не смогли. Произошло непредвиденное. Тепловая мощность реактора мгновенно подскочила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 13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раз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200 мВт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26 000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Вт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Вода -теплоноситель мгновенно закипела, циркониевые оболочки топливных стержней расплавились, при реакции с паром выделился водород. Первый взрыв, вероятно вызванный перегретым паром, сорвал крышку реактора вес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 около 2000 тонн и разрушил крышу здания. Через несколько секунд второй взрыв — предположительно водородно-кислородная смесь — разрушил активную зону и прекратил цепную реакцию. Графит внутри реактора загорелся, в небо поднялся столб радиоактивного дыма.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Что показала восстановленная хроника событий? Авария стала результатом не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дной ошибки, а целой цепочки несогласованных решений: программа эксперимента не была одобрена вышестоящим начальством, отсутствие коммуникации между сменами, легкомысленное отношение к безопасности (сознательное отключение систем безопасности для облегчени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проведения эксперимента), игнорирование показаний приборов. По отдельности эти факторы не привели бы к аварии. Даже будучи последовательными звеньями цепи событий, они могли бы не сработать — если хотя бы на одном из этапов работниками были проявлены вни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мательность и профессионализм. Это, пожалуй, главный урок причин Чернобыля: безопасность — не набор формальных инструкций, а образ мышления, в котором каждый работник постоянно анализирует риски, предвидит возможные сценарии развития аварийных ситуаций и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ринимает решения, направленные на предотвращение инцидентов, а не просто следует предписаниям. Это культура, где внимание к деталям, взаимный контроль и готовность остановить процесс при малейшем признаке опасности становятся естественной нормой поведения.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Первые часы: реакция и решения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ночь с 25 на 26 апреля на площадке ЧАЭС находились более 400 человек (сотрудники станции и строители новых энергоблоков)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Масштаб аварии стал понятен не сразу — ничего подобного во всём мире ещё не случалось. Но уже в первые минуты были приняты критически важные решения для ликвидации аварии и обеспечения безопасности населения.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Первоочередной задачей стала борьба с пожаром. Прибывшие пожарные расчёты приступили к тушению крыши машинного зала, где располагались маслосистемы турбогенераторов. Пожарные не имели точных данных об уровне радиации — местные стационарные дозим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етры либо вышли из строя из-за взрыва, либо были погребены под обломками. У них не было спецзащиты от радиации — только брезентовые робы и каски. Они тушили огонь на крыше машинного зала, пока под ногами плавился битум и графит. Их целью было не дать огню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перекинуться на соседни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блок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пяти часам утра, усилиями пожарных расчётов, пожар был потушен, а пожарные эвакуированы в госпиталь.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Параллельно в ночные часы было принято решение об остановке трёх оставшихся работающих реакторов ЧАЭС. Уже к 11 утра 26 апреля в Москве была создана правительственная комиссия, которая взяла на себя руководство ликвидацией.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полудню первый вертол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ёт, оснащённый дозиметрическим оборудованием, выполнил замеры над разрушенным блоком. Результаты оказались тревожными: несмотря на потушенный пожар, из реактора продолжали поступать радиоактивные вещества. Уровень излучения в воздухе над реактором составля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 от 500 до 1500 рентген в час, то есть в тысячу — три тысячи раз выше безопасного уровня (допустимая норма — 50 микрорентген в час). Замеры температуры показали, что внутри реактора продолжается процесс выделения тепла — по всей вероятности, горел графит.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Обратите внимание на скорость принятия решений. Прошло менее суток с момента взрыва — а уже действует правительственная комиссия, проведена воздушная разведка, начата эвакуация облучённых, собраны данные, разворачиваютс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военные части, формируются решения о вызове новых специалистов и способах их размещения по требованиям радиационной безопасности. В условиях, когда скорость передачи информации была ещё достаточно низкой (ни интернета, ни мобильных телефонов, ни возможно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сти действовать дистанционно при проверке уровня радиации — всё собиралось вручную), а прецедентов подобных аварий не существовало, государственные органы действовали оперативно, не дожидаясь полной картины и не увязая в бесконечных согласованиях действий.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Памятка о радиации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Прежде чем мы продолжим, необходимо внести ясность относительно радиации и её опасности для живых организмов. Постараюсь оп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исать всё простыми словами, чтобы не усложнять лекцию. Радиация — это такое излучение (поток частиц или квантов энергии), которое при прохождении через вещество способно выбивать электроны из атомов. В результате образуются ионы, а в живых тканях запускают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ся процессы, которые могут приводить к повреждению клеток и, главное, ДНК. Отсюда и практический смысл радиационной безопасности: нас интересует не «сам факт излучения», а то, какую дозу получит организм и какие последствия для организма это может вызвать.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Естественный радиационный фон существует всегда и может заметно различаться по регионам. Среднее значение радиационного фона составляет порядка 2–3 миллиЗиверта (мЗв) в год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4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персонала, работающего с АЭС, допустимые пределы выше, потому что предполагается обучение, контроль, дозиметрия и средства защиты. Это регламентированный риск при обязательных мерах защиты. Для персонала АЭС допускаются нормы в 20 мЗв в год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5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Отдельный большой блок — опасные и смертельные дозы. Дозы порядка 0,1 Зв (100 мЗв) обычно не вызывают острой лучевой болезни. В диапазоне примерно 0,5–1 Зв могут появляться ранние симптомы и заметные изменения в крови; требуется медиц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инское наблюдение. Около 2–3 Зв и выше речь уже идёт о тяжёлой лучевой болезни без лечения и высоких рисках осложнений. Существуют и более высокие уровни облучения, но мы их затрагивать не будем, потому что они, как правило, ведут к печальным последствиям.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Теперь, имея представление об опасностях радиации, вернёмся к тому, как ликвидаторы старались эту радиацию усмирить.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Тампонирование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 тем как продолжить рассказ, я хочу задать вопрос: как вы думаете, что такое тампонирование?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Первая и главная проблема, с которой столкнулись ликвидаторы, — смертельный уровень излучения от уничтоженного реактора. Ни один человек не мог нахо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диться рядом с разрушенным реактором дольше нескольких секунд. Не исключалась и возможность повторных взрывов — никогда ранее подобных аварий не происходило, и никто точно не знал, как поведёт себя топливо вне реактора, как будет протекать ядерная реакция.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составе правительственной комиссии прибыл академик Валерий Алексеевич Легасов — заместитель директора Института атомной энергетики имени Курчатова. Он сразу включился в работы по ликвидации, лично прово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дил облеты разрушенного 4-го блока на вертолете и подходил к реактору на бронетранспортере для измерений. Он пробыл на станции в общей сложности 60 суток вместо рекомендованных 14, принимая ключевые решения и информируя правительство о реальной обстановке.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Именно Легасовым было принято нестандартное решение — засыпать повреждённый энергоблок различными материалами с вертолётов. Материалы подбирались для решения конкретных задач: так соединения бора при попадании в зону реактора препятствовали возобнов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лению цепной реакции; доломит, песок и глина создавали фильтрующий слой, снижая радиационные выбросы; свинец поглощал тепло, не давая расплавленному топливу прожечь фундамент и попасть в грунтовые воды. Эту операцию назвали общим термином «тампонирование».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Только за первые сутки к Припяти были переброшены десятки вертолётов — всего в зоне аварии работали лётчики из сорока восьми частей со всего Советского Союза. В воздухе одновременно находилось тридцать-сорок маши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н, каждая сбрасывала груз с интервалом в две минуты. Условия были предельно тяжёлыми: высокая температура над реактором резко снижала тягу двигателей, вертолёты проваливались на двадцать-тридцать метров; рядом возвышалась стосорокаметровая труба, столкнове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ние с которой означало гибель. Сброс производился на скорости сто — сто двадцать километров в час с высоты двухсот метров. Эффективность тампонирования нарастала день ото дня: 27 апреля сбросили около 150 тонн, 30 апреля — уже 1500 тонн, 1 мая — 1900 тонн.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11 часам 1 мая удалось погасить горящее пятно внутри реактора, а радиоактивный шлейф сошёл на нет. Всего с 27 апреля по 10 мая, по данным МАГАТЭ, было выполнено более 1800 вертолёто-вылетов, в ходе которых на реактор сбросили свыше 5000 тонн материалов.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Это решение — яркий пример того, как в непредвиденных обстоятельствах объединение научной мысли, инженерной смекалки и ресурсов со всех концов государства позволило найти эффективный выход.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11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Спасение людей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26 апреля в 23:00 государственная комиссия, во главе с заместителем совета министров СССР Б.Е. Щербиной, приняла решение об эвакуации города Припяти — более 49 000 человек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6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Задача была колоссальной: в городе просто не существовало транспорта, способного одномоментно вывезти всё население. В кратчайшие сроки из Киева и области в Припять и населенные пункты окружающие ЧАЭС было направлено более 1100 автобусов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Днём 27 апреля была объявлена эвакуация города. За два с пол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овиной часа все жители Припяти были вывезены на автобусах из города в пункты временного проживания. Два с половиной часа и пятьдесят тысяч человек — это результат чёткой координации между военными, транспортными службами, местными властями и руководством 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иквидации. В последующие дни зона эвакуации расширялась: сначала до десяти, а со 2 мая — до тридцати километров от станции. Всего было эвакуировано 116 тысяч человек. Для бывших жителей Припяти за два года, к 1988 году, был построен новый город — Славутич.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Эвакуация такого масштаба в столь сжатые сроки — факт, который заслуживает отдельного внимания.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То, что она осуществилась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коротки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и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без ошибок стал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возможно благодаря тому, что государственные структуры действовали как единый механизм, а население проявило дисциплину и доверие к принимаемым решениям.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Ликвидация на земле: борьба с невидимым врагом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27 апреля регулярные замеры радиации вокруг АЭС начали проводить военные специалисты войск радиационной, химической и биологической защиты на специально оборудованных машинах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8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К середине мая численность войск РХБЗ в зоне аварии составляла около тридцати тысяч человек. Они занимались радиационной разведкой и мониторингом, дезактивацией техники и местности, сбором и захоронением радиоактивных отходов.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Между тем перед ликвидаторами встали критические вопросы: где находится топливо из разрушенного реактора? Сколько его выброшено наружу, а сколько осталось внутри? Существует ли реактор вообще? По собранным 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анным, за пределы блока было выброшено около четырёх процентов топлива, причём значительная его часть не вышла за территорию станции. Девяносто шесть процентов осталось внутри. Расплавленное топливо проплавило днище реактора и стекло в подвальные помещения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образовав так называемый кориум — лаваподобную массу. Это создало две новые угрозы: горячее топливо могло проплавить стенки бассейнов с водой, что грозило паровым взрывом, а также могло прожечь фундамент и попасть в грунтовые воды, а через них — в Днепр.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решения пе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рвой проблемы были отобраны сотрудники ЧАЭС, хорошо знавшие внутреннюю планировку энергоблока. Они пробрались по затопленным галереям к задвижкам дренажных систем и открыли их вручную, обеспечив слив воды. Следом военные за тридцать минут проложили полтора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километра труб по заражённой территории для откачки радиоактивной воды. Для решения второй проблемы были приглашены шахтёры, которые за месяц пробили 136-метровый тоннель под энергоблоком и создали дополнительную бетонную подушку для укрепления фундамента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9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Отдельной проблемой стали высокорадиоактивные обломки на крыше энергоблока, заброшенные туда взрывом. Ветер регулярно сдувал с них заражённую пыль, распространяя загрязнение. Попытки использовать дистанционно управляемых роб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отов провалились — радиация выжигала их микросхемы. Очищать крышу пришлось людям. Из-за экстремального уровня облучения каждый работник в специальной защите совершал лишь три-четыре коротких выхода на крышу, после чего его навсегда выводили из зоны аварии.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Масштаб привлечённых сил поражает: на разных этапах ликвидации были одновременно задействованы от шестнадцати до тридцати тысяч человек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только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дезактивационных работах, более двухсот десяти воинских частей  (свыше девяноста тысяч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военнослужащих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— в самый острый период с апреля по декабрь 1986 года), восемнадцать с половиной тысяч сотрудников органов внутренних дел, свыше семи тысяч сотрудников 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диологических лабораторий и санэпидстанций. Врачи обеспечивали непрерывный контроль за облучёнными и проводили лечебно-профилактические мероприятия. Строгий дозиметрический контроль и постоянная ротация людей позволяли выполнять задачи, минимизируя потери.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Слово «дезактивация» в те месяцы вмещало в себя огромный спектр работ: мытьё зданий и дорог специальными растворами, перекопка и замена грунта, снос и захоронение заражённых строений и участков леса в зоне поражения. Даже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простая помывка в душе для ликвидаторов подчинялась строгому протоколу: сначала холодная вода — чтобы закрыть поры и смыть радиоактивную пыль, затем горячая с мылом — чтобы вымыть загрязнения, потом снова холодная — чтобы поры закрылись перед выходом. Раб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ота была тяжёлой и до возведения саркофага над реактором часто казалась бесконечной: реактор продолжал выбрасывать радиоактивную пыль с тёплыми потоками воздуха, которая оседала на только что отмытые поверхности, и дезактивацию приходилось начинать заново.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Ликвидаторами становились люди самых разных профессий — военные и гражданские специалисты, сотрудники аварийных служб и персонал станции, инженеры, строители, водители, медики. Учёные, рабочие-профессионалы и специалисты привлекались со всего Советского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юза.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общей сложности к ликвидации последствий аварии в 30-км зоне вокруг ЧАЭС в 1986–1987 годах участвовали 300 тысяч человек. Всего за период с 1986 по 1990 год в противоаварийных работах принялии участие до 600 тысяч человек</w:t>
      </w:r>
      <w:r>
        <w:rPr>
          <w:rStyle w:val="924"/>
          <w:rFonts w:hint="default" w:ascii="Times New Roman" w:hAnsi="Times New Roman" w:eastAsia="Times New Roman"/>
          <w:sz w:val="28"/>
          <w:szCs w:val="28"/>
          <w:highlight w:val="white"/>
          <w:lang w:val="ru-RU"/>
        </w:rPr>
        <w:footnoteReference w:id="10"/>
      </w:r>
      <w:r>
        <w:rPr>
          <w:rFonts w:hint="default" w:ascii="Times New Roman" w:hAnsi="Times New Roman" w:eastAsia="Times New Roman"/>
          <w:sz w:val="28"/>
          <w:szCs w:val="28"/>
          <w:highlight w:val="white"/>
          <w:lang w:val="ru-RU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/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Эвакуированному населению поступала гуманитарная помощь из разных уголков страны. Это было подлинное единство — не декларативное,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 выраженное в конкретных делах: в новых домах для пострадавших, в военных добровольцах из разных частей страны, в тысячах часов самоотверженной работы под невидимым, но смертельно опасным излучением, когда участники понимали риски и шли на них осознанно.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Саркофаг: закрыть угрозу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Впервые идея накрыть аварийный блок защитной конструкцией прозвучала уже в мае. 15 мая правительство СССР поручило Минсредмашу выполнение работ, связанных с консервацией четвертого энергоблока ЧАЭС и относящихся к нему сооружений, а также захоронение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радиоактивных отходов. В Чернобыль сразу вылетел глава ведомства Ефим Славский. Несмотря на преклонный возраст (88 лет), он имел богатырское здоровье. Министр лично прошел весь машинный зал до развалин реактора, оценил обстановку, сказал: «Будем работать»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1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Проектирование объекта «Укрытие» — так его назвали официально — началос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 20 мая 1986 года. Из восемнадцати рассмотренных вариантов к августу был утверждён один. Задержка объяснялась необходимостью проверить, можно ли использовать уцелевшие конструкции энергоблока как опору или придётся проектировать сооружение целиком с нуля.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Именно Славский настоял на полном захоронении реактора в бетон, отвергнув академические рекомендации, и координировал разведку радиационных полей с использованием защищенных машин.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Количество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требуемых строительных материалов было огромным. Что бы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загрязнённая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строительная техника не выезжала за пределы закрытой зоны, на  её территории было построено 3 бетонных завода.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строительной площадке техника специально обш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ивалась свинцовыми листами для защиты людей, а машины, работавшие непосредственно у стен реактора, были переоборудованы под дистанционное управление. Необходимо было закрыть все развалы и провалы — бетоном, грунтом, тяжёлыми экранами — лишь бы радиация ост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алась внутри. При этом необходимо было регулярно менять технику, которая из-за работы вблизи реактора постоянно подвергалась радиационному заражению. Были построены специальные механизмы для доставки и заливки бетона к стенам реактора без участия человека.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Что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бы сделать толстые бетонные стены саркофага, потребовалось разработать и доставить огромные каркасные стены из металла. Они собирались большими блоками, достигая размеров 50 метров в ширину и 12,5 метров в высоту</w:t>
      </w:r>
      <w:r>
        <w:rPr>
          <w:rStyle w:val="924"/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footnoteReference w:id="12"/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 Масса одной такой карк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асной стены доходила до 120 тонн и больше. Для их доставки и монтажа использовали существующую железную дорогу, проложенную вдоль машинного зала ещё при строительстве самой АЭС, и специальные краны, способные поднимать до 250 тонн на расстоянии в 50 метров</w:t>
      </w:r>
      <w:r>
        <w:rPr>
          <w:rStyle w:val="924"/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footnoteReference w:id="13"/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Когда потребовалось выводить монтажников на площадку, продолжительность одной смены могла составлять 15 минут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4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зависимости от радиационного фона. При этом работы велись круглосуточно. В такие дни на строительной площадке могло находиться до 10 000 человек в день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5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Постоянно присут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ствовали дозиметристы, которые в конце смены измеряли радиационный фон всех участвовавших в смене. Если участник работ получал дозы, близкие к допустимому лимиту, его снимали с работ и отправляли на восстановление. Выбывшего работника сразу заменяли новым.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Чем выше поднимались стены, тем больше снижался радиационный фон, и рабочие смены увеличивались до часа, двух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6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более. При этом в воздухе от постоянно перемещающейся техники висело много радиоактивной пыли. Чтобы снизить её количество, стройплощадку постоянно заливали водой, отчего формировалось огромное количество грязи.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Несмотря на все трудности, саркофаг был возведён за двести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шесть дней — срок, беспрецедентный для объекта таких масштабов и сложности. Сооружение высотой более пятидесяти метров с внешними размерами двести на двести метров накрыло четвёртый энергоблок, прекратив выбросы радиоактивных элементов в окружающую среду.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Последствия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Уже в 1986 году стартовали масштабные научные исследования последствий аварии, были созда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ны специальные центры, в том числе Всесоюзный центр радиационной медицины. Советская наука получила беспрецедентный комплекс задач — от изучения миграции радионуклидов в экосистемах до разработки принципиально новых подходов к безопасности атомных станций.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Летом 1986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года СССР представил МАГАТЭ (Международное агентство по атомной энергии) доклад о причинах и возможных последствиях аварии. Это сотрудничество стало важным шагом: впервые информация о столь масштабном инциденте была передана международному экспертному соо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бществу для совместного анализа. В 1988 году на конференции в Обнинске началось более открытое обсуждение чернобыльских уроков. Важно отметить, что зарубежное информационное освещение аварии нередко содержало значительные преувеличения, однако объективная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оценка, проведённая в том числе международными организациями, показала: благодаря оперативным и организованным действиям удалось существенно минимизировать долгосрочные последствия для населения и экосистемы. Тем не менее уроки были извлечены серьёзнейшие.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Разбор причин аварии выявил комплекс системных проблем: конструктивные особенности реакторов РБМК, опасное поведение реактора на малых мощностях, недостаточный обмен информацией о нарушениях между станциями, формальное отношение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нормам безопасности. В кратчайшие сроки на всех реакторах типа РБМК был проведён комплекс мероприятий, исключающих саму возможность повторения подобного сценария. Изменились критерии размещения атомных станций: было точно определено допустимое расстояние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АЭС до городов, объектов культуры, здравоохранения, зон отдыха и заповедников в зависимости от численности населения и мощности станции. Площадки для новых АЭС выбираются не ближе двадцати пяти километров от городов с населением более ста тысяч жителей.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Чернобыльская авария нанесла серьёзный удар по мировой атомной энергетике. С 1986 по 2002 год в странах Северной Америки и Западной Европы не было пост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роено ни одной новой АЭС. В СССР было законсервировано и прекращено строительство ряда новых станций и энергоблоков. Но именно этот кризис стал мощнейшим импульсом для глобального пересмотра норм ядерной безопасности, разработки новых защитных технологий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совершенствования систем управления рисками. Сформированный на чернобыльском опыте многоуровневый подход к безопасности и аварийному реагированию привёл к тому, что повторение катастрофы такого масштаба на современных российских АЭС считается невозможным.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О чём важно помнить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Чернобыльская авария стала результатом цепочки нескоординированных и непроверенных решений и действий. Она была преодолена благодаря обратному: ответственности, профессионализму, осознанным действиям и способности граждан огромной страны объединитьс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для решения общей беды. Государство обеспечило эвакуацию, мобилизацию ресурсов, привлечение лучших учёных и специалистов. Общество ответило консолидацией — сотни тысяч людей из всех республик и ведомств встали на защиту от невидимой угрозы.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Говоря о ликвидаторах, важно помнить: их подвиг измеряется не только цифрами и сроками, но и готовностью принять ответств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енность, защитить других ценой собственного здоровья. Подлинный смысл их героизма — профессионального и гражданского — в том, что они сделали шаг навстречу опасности, когда от действий конкретных людей зависели жизнь, безопасность и будущее целых регионов.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Чернобыль учит нас: технологии не бывают опасными или безопасными сами по себе — всё определяется тем, в чьих руках они находятся и насколько серьёзно относятся к ответственности те, кто ими управляет.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ветственность, осознанность, профессионализм и готовность к взаимопомощи — вот что в конечном счёте определяет, станет ли сложная технология благом или источником беды. Это урок, актуальный далеко за пределами атомной энергетики, — урок для каждого из нас.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Лучшая в мире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Сегодня мировая атомная энергетика продолжает развиваться. Десять ведущих стран мира производят более восьмидесяти процентов всего атомного электричества. Россия стоит на первом месте среди остальных стран в области развития атомных технологий.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2026 году в России работают тридцать пять энергоблоков на одиннадцати АЭС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footnoteReference w:id="17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На них стоят самые современные и безопасные реакторы поколения III+, такие как ВВЭР-1200, которые определяют для всего мира требования безопасности и защиты, которым должны соответствовать современные реакторы.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России существует единственный в мире атомный ледокольный флот, обеспечивающий навигацию по Северному морскому пути и освоение Арктики. Россия — единственное государство, в котором создали плавучую атомную электростанцию «Академик Ломоносов». Она спец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ально создана для работы в суровых условиях Крайнего Севера, при этом демонстрирует надёжность и мобильность. Вслед за «Академиком Ломоносовым» строятся  АЭС малой мощности, чтобы снабжать электроэнергией наиболее отдалённые уголки нашей необъятной страны.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Помимо плавучих АЭС, наши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учёные — единственные, кто спроектировали замкнутый ядерный топливный цикл, позволяющий максимально эффективно использовать топливо. Это позволит в будущем снизить опасность загрязнения радиоактивными отходами до минимума — они просто не будут оставаться.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/>
      <w:bookmarkStart w:id="0" w:name="_heading=h.yykbgcaeyjwc"/>
      <w:r/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Наша страна сохраняет лидирующие позиции на мировом рынке строительства АЭС: российские реакторы работают или строятся в Венгрии, Турции, Индии, Китае, Бангладеш, Египте и других странах.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лавное — это люди. Российская атомная отрасль держится на профессионалах высочайшего класса, для которых безопасность — абсолютный приоритет. Каждый сотрудник, от оператора до руководителя, понимает, насколько ответственна его работа перед страной и миром.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Современная российская атомная энергетика — это симбиоз проверенных временем традиций и прорывных инноваций, где каждая система дублирована, каждое решение просчитано, а безопасность встроена на уровне проектирования и работы с персоналом. Регуляр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 проводятся мероприятия для поддержания осознанного отношения персонала АЭС к своей работе. Сегодня атомная отрасль не только способствует энергетической независимости России, но и задаёт мировые стандарты в области мирного использования атомной энергии.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Российский атом — это технологии завтрашнего дня, работающие уже сегодня.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ru-RU"/>
        </w:rPr>
        <w:t xml:space="preserve">7-20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Обратная связь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Благодарю за внимание — надеюсь, эта лекция вдохновит вас на дальнейшее изучение технологий атомной промышленности. Прошу вас оставить обратную связь перейдя по QR-коду, указанному на экране.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Georgia">
    <w:panose1 w:val="02040503050406030204"/>
  </w:font>
  <w:font w:name="SimSun">
    <w:panose1 w:val="0202060302010102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  <w:highlight w:val="yellow"/>
      </w:rPr>
    </w:pPr>
    <w:r>
      <w:rPr>
        <w:sz w:val="20"/>
        <w:szCs w:val="20"/>
        <w:highlight w:val="yellow"/>
      </w:rPr>
    </w:r>
    <w:r>
      <w:rPr>
        <w:sz w:val="20"/>
        <w:szCs w:val="20"/>
        <w:highlight w:val="yellow"/>
      </w:rPr>
    </w:r>
    <w:r>
      <w:rPr>
        <w:sz w:val="20"/>
        <w:szCs w:val="20"/>
        <w:highlight w:val="yellow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  <w:footnote w:id="2">
    <w:p>
      <w:pPr>
        <w:spacing w:after="0" w:line="240" w:lineRule="auto"/>
        <w:rPr>
          <w:rFonts w:hint="default" w:ascii="Times New Roman" w:hAnsi="Times New Roman" w:cs="Times New Roman"/>
          <w:color w:val="000000" w:themeColor="text1"/>
          <w:sz w:val="20"/>
          <w:szCs w:val="20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0"/>
          <w:szCs w:val="20"/>
          <w:highlight w:val="white"/>
          <w:vertAlign w:val="superscript"/>
          <w14:textFill>
            <w14:solidFill>
              <w14:schemeClr w14:val="tx1"/>
            </w14:solidFill>
          </w14:textFill>
        </w:rPr>
        <w:footnoteRef/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highlight w:val="whit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"https://elib.biblioatom.ru/text/istoriya-atomnoy-energetiki_v4_2002/p26/" \h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highlight w:val="white"/>
          <w14:textFill>
            <w14:solidFill>
              <w14:schemeClr w14:val="tx1"/>
            </w14:solidFill>
          </w14:textFill>
        </w:rPr>
        <w:t xml:space="preserve">https://elib.biblioatom.ru/text/istoriya-atomnoy-energetiki_v4_2002/p26/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highlight w:val="whit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highlight w:val="whit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highlight w:val="white"/>
          <w14:textFill>
            <w14:solidFill>
              <w14:schemeClr w14:val="tx1"/>
            </w14:solidFill>
          </w14:textFill>
        </w:rPr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:highlight w:val="white"/>
          <w14:textFill>
            <w14:solidFill>
              <w14:schemeClr w14:val="tx1"/>
            </w14:solidFill>
          </w14:textFill>
        </w:rPr>
      </w:r>
    </w:p>
  </w:footnote>
  <w:footnote w:id="3">
    <w:p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 https://elib.biblioatom.ru/text/atomnaya-energiya_t61-5_1986/p307/</w:t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</w:footnote>
  <w:footnote w:id="4">
    <w:p>
      <w:pPr>
        <w:spacing w:after="0" w:line="24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https://base.garant.ru/4188851/53f89421bbdaf741eb2d1ecc4ddb4c33/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</w:footnote>
  <w:footnote w:id="5">
    <w:p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 https://www.norao.ru/upload/sguk/regulations/46-НРБ-99-2009.pdf</w:t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</w:footnote>
  <w:footnote w:id="6">
    <w:p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 https://elib.biblioatom.ru/text/abalkina_chernobylskaya-radiatsiya_2006/p10</w:t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</w:footnote>
  <w:footnote w:id="7">
    <w:p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https://elib.biblioatom.ru/text/abalkina_chernobylskaya-radiatsiya_2006/?ysclid=mnoaimc6hn8634900</w:t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</w:footnote>
  <w:footnote w:id="8">
    <w:p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hint="default" w:ascii="Times New Roman" w:hAnsi="Times New Roman" w:cs="Times New Roman"/>
          <w:sz w:val="20"/>
          <w:szCs w:val="20"/>
          <w:highlight w:val="white"/>
          <w:vertAlign w:val="superscript"/>
        </w:rPr>
        <w:footnoteRef/>
      </w:r>
      <w:r>
        <w:rPr>
          <w:rFonts w:hint="default" w:ascii="Times New Roman" w:hAnsi="Times New Roman" w:eastAsia="Times New Roman" w:cs="Times New Roman"/>
          <w:sz w:val="20"/>
          <w:szCs w:val="20"/>
          <w:highlight w:val="white"/>
        </w:rPr>
        <w:t xml:space="preserve"> http://old.redstar.ru/2002/04/26_04/1_01.html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hint="default" w:ascii="Times New Roman" w:hAnsi="Times New Roman" w:eastAsia="Times New Roman" w:cs="Times New Roman"/>
          <w:sz w:val="20"/>
          <w:szCs w:val="20"/>
          <w:highlight w:val="white"/>
        </w:rPr>
      </w:r>
    </w:p>
  </w:footnote>
  <w:footnote w:id="9">
    <w:p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https://tass.ru/opinions/13036155?ysclid=mnob1lxkx9657289559</w:t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</w:footnote>
  <w:footnote w:id="10">
    <w:p>
      <w:pPr>
        <w:pStyle w:val="931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4"/>
          <w:rFonts w:hint="default" w:ascii="Times New Roman" w:hAnsi="Times New Roman" w:cs="Times New Roman"/>
          <w:sz w:val="20"/>
          <w:szCs w:val="20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https://www.kommersant.ru/projects/chernobyl?ysclid=mnocyj7rcd184756488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</w:footnote>
  <w:footnote w:id="11">
    <w:p>
      <w:pPr>
        <w:spacing w:after="0" w:line="24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https://strana-rosatom.ru/2021/12/03/kak-sooruzhali-sarkofag-nad-avarijnym/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</w:footnote>
  <w:footnote w:id="12">
    <w:p>
      <w:pPr>
        <w:pStyle w:val="931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4"/>
          <w:rFonts w:hint="default" w:ascii="Times New Roman" w:hAnsi="Times New Roman" w:cs="Times New Roman"/>
          <w:sz w:val="20"/>
          <w:szCs w:val="20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https://elib.biblioatom.ru/text/kozlova_shvatka-s-neizvestnostyu_2021/p273/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</w:footnote>
  <w:footnote w:id="13">
    <w:p>
      <w:pPr>
        <w:pStyle w:val="931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4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https://elib.biblioatom.ru/text/opyt-likvidatsii-radiatsionnyh-avariy_2012/p115/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</w:footnote>
  <w:footnote w:id="14">
    <w:p>
      <w:pPr>
        <w:spacing w:after="0" w:line="24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https://45.ru/text/gorod/2021/11/30/70285277/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</w:footnote>
  <w:footnote w:id="15">
    <w:p>
      <w:pPr>
        <w:spacing w:after="0" w:line="240" w:lineRule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vertAlign w:val="superscript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https://strana-rosatom.ru/2021/12/03/kak-sooruzhali-sarkofag-nad-avarijnym/</w:t>
      </w:r>
      <w:r>
        <w:rPr>
          <w:rFonts w:hint="default" w:ascii="Times New Roman" w:hAnsi="Times New Roman" w:cs="Times New Roman"/>
          <w:sz w:val="20"/>
          <w:szCs w:val="20"/>
        </w:rPr>
      </w:r>
      <w:r>
        <w:rPr>
          <w:rFonts w:hint="default" w:ascii="Times New Roman" w:hAnsi="Times New Roman" w:cs="Times New Roman"/>
          <w:sz w:val="20"/>
          <w:szCs w:val="20"/>
        </w:rPr>
      </w:r>
    </w:p>
  </w:footnote>
  <w:footnote w:id="16">
    <w:p>
      <w:pPr>
        <w:spacing w:after="0" w:line="240" w:lineRule="auto"/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vertAlign w:val="superscript"/>
        </w:rPr>
        <w:footnoteRef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"https://elib.biblioatom.ru/text/kozlova_shvatka-s-neizvestnostyu_2021/p358/?hl=3%20%D1%87%D0%B0%D1%81%D0%B0"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https://elib.biblioatom.ru/text/kozlova_shvatka-s-neizvestnostyu_2021/p358/?hl=3%20часа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r>
      <w: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r>
    </w:p>
  </w:footnote>
  <w:footnote w:id="17">
    <w:p>
      <w:pPr>
        <w:spacing w:after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 https://www.rosatom.ru/production/generation/index.php?sphrase_id=7588301</w:t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  <w:r>
        <w:rPr>
          <w:rFonts w:hint="default" w:ascii="Times New Roman" w:hAnsi="Times New Roman" w:eastAsia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5pt;height:30.3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5">
    <w:name w:val="Heading 1 Char"/>
    <w:basedOn w:val="922"/>
    <w:link w:val="913"/>
    <w:uiPriority w:val="9"/>
    <w:rPr>
      <w:rFonts w:ascii="Arial" w:hAnsi="Arial" w:eastAsia="Arial" w:cs="Arial"/>
      <w:sz w:val="40"/>
      <w:szCs w:val="40"/>
    </w:rPr>
  </w:style>
  <w:style w:type="character" w:styleId="896">
    <w:name w:val="Heading 2 Char"/>
    <w:basedOn w:val="922"/>
    <w:link w:val="914"/>
    <w:uiPriority w:val="9"/>
    <w:rPr>
      <w:rFonts w:ascii="Arial" w:hAnsi="Arial" w:eastAsia="Arial" w:cs="Arial"/>
      <w:sz w:val="34"/>
    </w:rPr>
  </w:style>
  <w:style w:type="character" w:styleId="897">
    <w:name w:val="Heading 3 Char"/>
    <w:basedOn w:val="922"/>
    <w:link w:val="915"/>
    <w:uiPriority w:val="9"/>
    <w:rPr>
      <w:rFonts w:ascii="Arial" w:hAnsi="Arial" w:eastAsia="Arial" w:cs="Arial"/>
      <w:sz w:val="30"/>
      <w:szCs w:val="30"/>
    </w:rPr>
  </w:style>
  <w:style w:type="character" w:styleId="898">
    <w:name w:val="Heading 4 Char"/>
    <w:basedOn w:val="922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899">
    <w:name w:val="Heading 5 Char"/>
    <w:basedOn w:val="922"/>
    <w:link w:val="917"/>
    <w:uiPriority w:val="9"/>
    <w:rPr>
      <w:rFonts w:ascii="Arial" w:hAnsi="Arial" w:eastAsia="Arial" w:cs="Arial"/>
      <w:b/>
      <w:bCs/>
      <w:sz w:val="24"/>
      <w:szCs w:val="24"/>
    </w:rPr>
  </w:style>
  <w:style w:type="character" w:styleId="900">
    <w:name w:val="Heading 6 Char"/>
    <w:basedOn w:val="922"/>
    <w:link w:val="918"/>
    <w:uiPriority w:val="9"/>
    <w:rPr>
      <w:rFonts w:ascii="Arial" w:hAnsi="Arial" w:eastAsia="Arial" w:cs="Arial"/>
      <w:b/>
      <w:bCs/>
      <w:sz w:val="22"/>
      <w:szCs w:val="22"/>
    </w:rPr>
  </w:style>
  <w:style w:type="character" w:styleId="901">
    <w:name w:val="Heading 7 Char"/>
    <w:basedOn w:val="922"/>
    <w:link w:val="9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2">
    <w:name w:val="Heading 8 Char"/>
    <w:basedOn w:val="922"/>
    <w:link w:val="920"/>
    <w:uiPriority w:val="9"/>
    <w:rPr>
      <w:rFonts w:ascii="Arial" w:hAnsi="Arial" w:eastAsia="Arial" w:cs="Arial"/>
      <w:i/>
      <w:iCs/>
      <w:sz w:val="22"/>
      <w:szCs w:val="22"/>
    </w:rPr>
  </w:style>
  <w:style w:type="character" w:styleId="903">
    <w:name w:val="Heading 9 Char"/>
    <w:basedOn w:val="922"/>
    <w:link w:val="921"/>
    <w:uiPriority w:val="9"/>
    <w:rPr>
      <w:rFonts w:ascii="Arial" w:hAnsi="Arial" w:eastAsia="Arial" w:cs="Arial"/>
      <w:i/>
      <w:iCs/>
      <w:sz w:val="21"/>
      <w:szCs w:val="21"/>
    </w:rPr>
  </w:style>
  <w:style w:type="character" w:styleId="904">
    <w:name w:val="Title Char"/>
    <w:basedOn w:val="922"/>
    <w:link w:val="943"/>
    <w:uiPriority w:val="10"/>
    <w:rPr>
      <w:sz w:val="48"/>
      <w:szCs w:val="48"/>
    </w:rPr>
  </w:style>
  <w:style w:type="character" w:styleId="905">
    <w:name w:val="Subtitle Char"/>
    <w:basedOn w:val="922"/>
    <w:link w:val="946"/>
    <w:uiPriority w:val="11"/>
    <w:rPr>
      <w:sz w:val="24"/>
      <w:szCs w:val="24"/>
    </w:rPr>
  </w:style>
  <w:style w:type="character" w:styleId="906">
    <w:name w:val="Quote Char"/>
    <w:link w:val="961"/>
    <w:uiPriority w:val="29"/>
    <w:rPr>
      <w:i/>
    </w:rPr>
  </w:style>
  <w:style w:type="character" w:styleId="907">
    <w:name w:val="Intense Quote Char"/>
    <w:link w:val="963"/>
    <w:uiPriority w:val="30"/>
    <w:rPr>
      <w:i/>
    </w:rPr>
  </w:style>
  <w:style w:type="character" w:styleId="908">
    <w:name w:val="Header Char"/>
    <w:basedOn w:val="922"/>
    <w:link w:val="933"/>
    <w:uiPriority w:val="99"/>
  </w:style>
  <w:style w:type="character" w:styleId="909">
    <w:name w:val="Caption Char"/>
    <w:basedOn w:val="929"/>
    <w:link w:val="944"/>
    <w:uiPriority w:val="99"/>
  </w:style>
  <w:style w:type="character" w:styleId="910">
    <w:name w:val="Footnote Text Char"/>
    <w:link w:val="931"/>
    <w:uiPriority w:val="99"/>
    <w:rPr>
      <w:sz w:val="18"/>
    </w:rPr>
  </w:style>
  <w:style w:type="character" w:styleId="911">
    <w:name w:val="Endnote Text Char"/>
    <w:link w:val="928"/>
    <w:uiPriority w:val="99"/>
    <w:rPr>
      <w:sz w:val="20"/>
    </w:rPr>
  </w:style>
  <w:style w:type="paragraph" w:styleId="912" w:default="1">
    <w:name w:val="Normal"/>
    <w:uiPriority w:val="0"/>
    <w:qFormat/>
    <w:pPr>
      <w:spacing w:after="160" w:line="259" w:lineRule="auto"/>
    </w:pPr>
    <w:rPr>
      <w:rFonts w:ascii="Calibri" w:hAnsi="Calibri" w:eastAsia="Calibri" w:cs="Calibri"/>
      <w:sz w:val="22"/>
      <w:szCs w:val="22"/>
      <w:lang w:val="ru" w:eastAsia="ru-RU" w:bidi="ar-SA"/>
    </w:rPr>
  </w:style>
  <w:style w:type="paragraph" w:styleId="913">
    <w:name w:val="Heading 1"/>
    <w:basedOn w:val="912"/>
    <w:next w:val="912"/>
    <w:link w:val="948"/>
    <w:uiPriority w:val="0"/>
    <w:qFormat/>
    <w:pPr>
      <w:keepLines/>
      <w:keepNext/>
      <w:spacing w:before="480" w:after="120"/>
      <w:outlineLvl w:val="0"/>
    </w:pPr>
    <w:rPr>
      <w:b/>
      <w:bCs/>
      <w:sz w:val="48"/>
      <w:szCs w:val="48"/>
    </w:rPr>
  </w:style>
  <w:style w:type="paragraph" w:styleId="914">
    <w:name w:val="Heading 2"/>
    <w:basedOn w:val="912"/>
    <w:next w:val="912"/>
    <w:link w:val="949"/>
    <w:uiPriority w:val="0"/>
    <w:qFormat/>
    <w:pPr>
      <w:keepLines/>
      <w:keepNext/>
      <w:spacing w:before="360" w:after="80"/>
      <w:outlineLvl w:val="1"/>
    </w:pPr>
    <w:rPr>
      <w:b/>
      <w:bCs/>
      <w:sz w:val="36"/>
      <w:szCs w:val="36"/>
    </w:rPr>
  </w:style>
  <w:style w:type="paragraph" w:styleId="915">
    <w:name w:val="Heading 3"/>
    <w:basedOn w:val="912"/>
    <w:next w:val="912"/>
    <w:link w:val="950"/>
    <w:uiPriority w:val="0"/>
    <w:qFormat/>
    <w:pPr>
      <w:keepLines/>
      <w:keepNext/>
      <w:spacing w:before="280" w:after="80"/>
      <w:outlineLvl w:val="2"/>
    </w:pPr>
    <w:rPr>
      <w:b/>
      <w:bCs/>
      <w:sz w:val="28"/>
      <w:szCs w:val="28"/>
    </w:rPr>
  </w:style>
  <w:style w:type="paragraph" w:styleId="916">
    <w:name w:val="Heading 4"/>
    <w:basedOn w:val="912"/>
    <w:next w:val="912"/>
    <w:link w:val="951"/>
    <w:uiPriority w:val="0"/>
    <w:qFormat/>
    <w:pPr>
      <w:keepLines/>
      <w:keepNext/>
      <w:spacing w:before="240" w:after="40"/>
      <w:outlineLvl w:val="3"/>
    </w:pPr>
    <w:rPr>
      <w:b/>
      <w:bCs/>
      <w:sz w:val="24"/>
      <w:szCs w:val="24"/>
    </w:rPr>
  </w:style>
  <w:style w:type="paragraph" w:styleId="917">
    <w:name w:val="Heading 5"/>
    <w:basedOn w:val="912"/>
    <w:next w:val="912"/>
    <w:link w:val="952"/>
    <w:uiPriority w:val="0"/>
    <w:qFormat/>
    <w:pPr>
      <w:keepLines/>
      <w:keepNext/>
      <w:spacing w:before="220" w:after="40"/>
      <w:outlineLvl w:val="4"/>
    </w:pPr>
    <w:rPr>
      <w:b/>
      <w:bCs/>
    </w:rPr>
  </w:style>
  <w:style w:type="paragraph" w:styleId="918">
    <w:name w:val="Heading 6"/>
    <w:basedOn w:val="912"/>
    <w:next w:val="912"/>
    <w:link w:val="953"/>
    <w:uiPriority w:val="0"/>
    <w:qFormat/>
    <w:pPr>
      <w:keepLines/>
      <w:keepNext/>
      <w:spacing w:before="200" w:after="40"/>
      <w:outlineLvl w:val="5"/>
    </w:pPr>
    <w:rPr>
      <w:b/>
      <w:bCs/>
      <w:sz w:val="20"/>
      <w:szCs w:val="20"/>
    </w:rPr>
  </w:style>
  <w:style w:type="paragraph" w:styleId="919">
    <w:name w:val="Heading 7"/>
    <w:basedOn w:val="912"/>
    <w:next w:val="912"/>
    <w:link w:val="9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20">
    <w:name w:val="Heading 8"/>
    <w:basedOn w:val="912"/>
    <w:next w:val="912"/>
    <w:link w:val="9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21">
    <w:name w:val="Heading 9"/>
    <w:basedOn w:val="912"/>
    <w:next w:val="912"/>
    <w:link w:val="9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2" w:default="1">
    <w:name w:val="Default Paragraph Font"/>
    <w:uiPriority w:val="1"/>
    <w:semiHidden/>
    <w:unhideWhenUsed/>
    <w:qFormat/>
  </w:style>
  <w:style w:type="table" w:styleId="92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924">
    <w:name w:val="footnote reference"/>
    <w:basedOn w:val="922"/>
    <w:uiPriority w:val="99"/>
    <w:unhideWhenUsed/>
    <w:qFormat/>
    <w:rPr>
      <w:vertAlign w:val="superscript"/>
    </w:rPr>
  </w:style>
  <w:style w:type="character" w:styleId="925">
    <w:name w:val="annotation reference"/>
    <w:basedOn w:val="922"/>
    <w:uiPriority w:val="99"/>
    <w:semiHidden/>
    <w:unhideWhenUsed/>
    <w:qFormat/>
    <w:rPr>
      <w:sz w:val="16"/>
      <w:szCs w:val="16"/>
    </w:rPr>
  </w:style>
  <w:style w:type="character" w:styleId="926">
    <w:name w:val="endnote reference"/>
    <w:basedOn w:val="922"/>
    <w:uiPriority w:val="99"/>
    <w:semiHidden/>
    <w:unhideWhenUsed/>
    <w:qFormat/>
    <w:rPr>
      <w:vertAlign w:val="superscript"/>
    </w:rPr>
  </w:style>
  <w:style w:type="character" w:styleId="927">
    <w:name w:val="Hyperlink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28">
    <w:name w:val="endnote text"/>
    <w:basedOn w:val="912"/>
    <w:link w:val="1094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929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930">
    <w:name w:val="annotation text"/>
    <w:link w:val="1098"/>
    <w:uiPriority w:val="99"/>
    <w:semiHidden/>
    <w:unhideWhenUsed/>
    <w:qFormat/>
    <w:pPr>
      <w:spacing w:after="160"/>
    </w:pPr>
    <w:rPr>
      <w:rFonts w:ascii="Calibri" w:hAnsi="Calibri" w:eastAsia="Calibri" w:cs="Calibri"/>
      <w:lang w:val="ru" w:eastAsia="ru-RU" w:bidi="ar-SA"/>
    </w:rPr>
  </w:style>
  <w:style w:type="paragraph" w:styleId="931">
    <w:name w:val="footnote text"/>
    <w:basedOn w:val="912"/>
    <w:link w:val="1093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932">
    <w:name w:val="toc 8"/>
    <w:basedOn w:val="912"/>
    <w:next w:val="912"/>
    <w:uiPriority w:val="39"/>
    <w:unhideWhenUsed/>
    <w:qFormat/>
    <w:pPr>
      <w:ind w:left="1984"/>
      <w:spacing w:after="57"/>
    </w:pPr>
  </w:style>
  <w:style w:type="paragraph" w:styleId="933">
    <w:name w:val="Header"/>
    <w:basedOn w:val="912"/>
    <w:link w:val="965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934">
    <w:name w:val="toc 9"/>
    <w:basedOn w:val="912"/>
    <w:next w:val="912"/>
    <w:uiPriority w:val="39"/>
    <w:unhideWhenUsed/>
    <w:qFormat/>
    <w:pPr>
      <w:ind w:left="2268"/>
      <w:spacing w:after="57"/>
    </w:pPr>
  </w:style>
  <w:style w:type="paragraph" w:styleId="935">
    <w:name w:val="toc 7"/>
    <w:basedOn w:val="912"/>
    <w:next w:val="912"/>
    <w:uiPriority w:val="39"/>
    <w:unhideWhenUsed/>
    <w:qFormat/>
    <w:pPr>
      <w:ind w:left="1701"/>
      <w:spacing w:after="57"/>
    </w:pPr>
  </w:style>
  <w:style w:type="paragraph" w:styleId="936">
    <w:name w:val="toc 1"/>
    <w:basedOn w:val="912"/>
    <w:next w:val="912"/>
    <w:uiPriority w:val="39"/>
    <w:unhideWhenUsed/>
    <w:qFormat/>
    <w:pPr>
      <w:spacing w:after="57"/>
    </w:pPr>
  </w:style>
  <w:style w:type="paragraph" w:styleId="937">
    <w:name w:val="toc 6"/>
    <w:basedOn w:val="912"/>
    <w:next w:val="912"/>
    <w:uiPriority w:val="39"/>
    <w:unhideWhenUsed/>
    <w:qFormat/>
    <w:pPr>
      <w:ind w:left="1417"/>
      <w:spacing w:after="57"/>
    </w:pPr>
  </w:style>
  <w:style w:type="paragraph" w:styleId="938">
    <w:name w:val="table of figures"/>
    <w:basedOn w:val="912"/>
    <w:next w:val="912"/>
    <w:uiPriority w:val="99"/>
    <w:unhideWhenUsed/>
    <w:qFormat/>
    <w:pPr>
      <w:spacing w:after="0"/>
    </w:pPr>
  </w:style>
  <w:style w:type="paragraph" w:styleId="939">
    <w:name w:val="toc 3"/>
    <w:basedOn w:val="912"/>
    <w:next w:val="912"/>
    <w:uiPriority w:val="39"/>
    <w:unhideWhenUsed/>
    <w:qFormat/>
    <w:pPr>
      <w:ind w:left="567"/>
      <w:spacing w:after="57"/>
    </w:pPr>
  </w:style>
  <w:style w:type="paragraph" w:styleId="940">
    <w:name w:val="toc 2"/>
    <w:basedOn w:val="912"/>
    <w:next w:val="912"/>
    <w:uiPriority w:val="39"/>
    <w:unhideWhenUsed/>
    <w:qFormat/>
    <w:pPr>
      <w:ind w:left="283"/>
      <w:spacing w:after="57"/>
    </w:pPr>
  </w:style>
  <w:style w:type="paragraph" w:styleId="941">
    <w:name w:val="toc 4"/>
    <w:basedOn w:val="912"/>
    <w:next w:val="912"/>
    <w:uiPriority w:val="39"/>
    <w:unhideWhenUsed/>
    <w:qFormat/>
    <w:pPr>
      <w:ind w:left="850"/>
      <w:spacing w:after="57"/>
    </w:pPr>
  </w:style>
  <w:style w:type="paragraph" w:styleId="942">
    <w:name w:val="toc 5"/>
    <w:basedOn w:val="912"/>
    <w:next w:val="912"/>
    <w:uiPriority w:val="39"/>
    <w:unhideWhenUsed/>
    <w:qFormat/>
    <w:pPr>
      <w:ind w:left="1134"/>
      <w:spacing w:after="57"/>
    </w:pPr>
  </w:style>
  <w:style w:type="paragraph" w:styleId="943">
    <w:name w:val="Title"/>
    <w:basedOn w:val="912"/>
    <w:next w:val="912"/>
    <w:link w:val="959"/>
    <w:uiPriority w:val="0"/>
    <w:qFormat/>
    <w:pPr>
      <w:keepLines/>
      <w:keepNext/>
      <w:spacing w:before="480" w:after="120"/>
    </w:pPr>
    <w:rPr>
      <w:b/>
      <w:bCs/>
      <w:sz w:val="72"/>
      <w:szCs w:val="72"/>
    </w:rPr>
  </w:style>
  <w:style w:type="paragraph" w:styleId="944">
    <w:name w:val="Footer"/>
    <w:basedOn w:val="912"/>
    <w:link w:val="967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945">
    <w:name w:val="Normal (Web)"/>
    <w:basedOn w:val="912"/>
    <w:uiPriority w:val="0"/>
    <w:qFormat/>
    <w:rPr>
      <w:sz w:val="24"/>
      <w:szCs w:val="24"/>
    </w:rPr>
  </w:style>
  <w:style w:type="paragraph" w:styleId="946">
    <w:name w:val="Subtitle"/>
    <w:basedOn w:val="912"/>
    <w:next w:val="912"/>
    <w:link w:val="960"/>
    <w:uiPriority w:val="0"/>
    <w:qFormat/>
    <w:pPr>
      <w:keepLines/>
      <w:keepNext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947">
    <w:name w:val="Table Grid"/>
    <w:basedOn w:val="92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8" w:customStyle="1">
    <w:name w:val="Заголовок 1 Знак"/>
    <w:basedOn w:val="922"/>
    <w:link w:val="913"/>
    <w:uiPriority w:val="9"/>
    <w:qFormat/>
    <w:rPr>
      <w:rFonts w:ascii="Arial" w:hAnsi="Arial" w:eastAsia="Arial" w:cs="Arial"/>
      <w:sz w:val="40"/>
      <w:szCs w:val="40"/>
    </w:rPr>
  </w:style>
  <w:style w:type="character" w:styleId="949" w:customStyle="1">
    <w:name w:val="Заголовок 2 Знак"/>
    <w:basedOn w:val="922"/>
    <w:link w:val="914"/>
    <w:uiPriority w:val="9"/>
    <w:qFormat/>
    <w:rPr>
      <w:rFonts w:ascii="Arial" w:hAnsi="Arial" w:eastAsia="Arial" w:cs="Arial"/>
      <w:sz w:val="34"/>
    </w:rPr>
  </w:style>
  <w:style w:type="character" w:styleId="950" w:customStyle="1">
    <w:name w:val="Заголовок 3 Знак"/>
    <w:basedOn w:val="922"/>
    <w:link w:val="915"/>
    <w:uiPriority w:val="9"/>
    <w:qFormat/>
    <w:rPr>
      <w:rFonts w:ascii="Arial" w:hAnsi="Arial" w:eastAsia="Arial" w:cs="Arial"/>
      <w:sz w:val="30"/>
      <w:szCs w:val="30"/>
    </w:rPr>
  </w:style>
  <w:style w:type="character" w:styleId="951" w:customStyle="1">
    <w:name w:val="Заголовок 4 Знак"/>
    <w:basedOn w:val="922"/>
    <w:link w:val="91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52" w:customStyle="1">
    <w:name w:val="Заголовок 5 Знак"/>
    <w:basedOn w:val="922"/>
    <w:link w:val="91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53" w:customStyle="1">
    <w:name w:val="Заголовок 6 Знак"/>
    <w:basedOn w:val="922"/>
    <w:link w:val="9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54" w:customStyle="1">
    <w:name w:val="Заголовок 7 Знак"/>
    <w:basedOn w:val="922"/>
    <w:link w:val="91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55" w:customStyle="1">
    <w:name w:val="Заголовок 8 Знак"/>
    <w:basedOn w:val="922"/>
    <w:link w:val="92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56" w:customStyle="1">
    <w:name w:val="Заголовок 9 Знак"/>
    <w:basedOn w:val="922"/>
    <w:link w:val="92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957">
    <w:name w:val="List Paragraph"/>
    <w:basedOn w:val="912"/>
    <w:uiPriority w:val="34"/>
    <w:qFormat/>
    <w:pPr>
      <w:contextualSpacing/>
      <w:ind w:left="720"/>
    </w:pPr>
  </w:style>
  <w:style w:type="paragraph" w:styleId="958">
    <w:name w:val="No Spacing"/>
    <w:uiPriority w:val="1"/>
    <w:qFormat/>
    <w:rPr>
      <w:rFonts w:ascii="Calibri" w:hAnsi="Calibri" w:eastAsia="Calibri" w:cs="Calibri"/>
      <w:lang w:val="ru-RU" w:eastAsia="ru-RU" w:bidi="ar-SA"/>
    </w:rPr>
  </w:style>
  <w:style w:type="character" w:styleId="959" w:customStyle="1">
    <w:name w:val="Заголовок Знак"/>
    <w:basedOn w:val="922"/>
    <w:link w:val="943"/>
    <w:uiPriority w:val="10"/>
    <w:qFormat/>
    <w:rPr>
      <w:sz w:val="48"/>
      <w:szCs w:val="48"/>
    </w:rPr>
  </w:style>
  <w:style w:type="character" w:styleId="960" w:customStyle="1">
    <w:name w:val="Подзаголовок Знак"/>
    <w:basedOn w:val="922"/>
    <w:link w:val="946"/>
    <w:uiPriority w:val="11"/>
    <w:qFormat/>
    <w:rPr>
      <w:sz w:val="24"/>
      <w:szCs w:val="24"/>
    </w:rPr>
  </w:style>
  <w:style w:type="paragraph" w:styleId="961">
    <w:name w:val="Quote"/>
    <w:basedOn w:val="912"/>
    <w:next w:val="912"/>
    <w:link w:val="962"/>
    <w:uiPriority w:val="29"/>
    <w:qFormat/>
    <w:pPr>
      <w:ind w:left="720" w:right="720"/>
    </w:pPr>
    <w:rPr>
      <w:i/>
    </w:rPr>
  </w:style>
  <w:style w:type="character" w:styleId="962" w:customStyle="1">
    <w:name w:val="Цитата 2 Знак"/>
    <w:link w:val="961"/>
    <w:uiPriority w:val="29"/>
    <w:qFormat/>
    <w:rPr>
      <w:i/>
    </w:rPr>
  </w:style>
  <w:style w:type="paragraph" w:styleId="963">
    <w:name w:val="Intense Quote"/>
    <w:basedOn w:val="912"/>
    <w:next w:val="912"/>
    <w:link w:val="9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4" w:customStyle="1">
    <w:name w:val="Выделенная цитата Знак"/>
    <w:link w:val="963"/>
    <w:uiPriority w:val="30"/>
    <w:qFormat/>
    <w:rPr>
      <w:i/>
    </w:rPr>
  </w:style>
  <w:style w:type="character" w:styleId="965" w:customStyle="1">
    <w:name w:val="Верхний колонтитул Знак"/>
    <w:basedOn w:val="922"/>
    <w:link w:val="933"/>
    <w:uiPriority w:val="99"/>
    <w:qFormat/>
  </w:style>
  <w:style w:type="character" w:styleId="966" w:customStyle="1">
    <w:name w:val="Footer Char"/>
    <w:basedOn w:val="922"/>
    <w:uiPriority w:val="99"/>
    <w:qFormat/>
  </w:style>
  <w:style w:type="character" w:styleId="967" w:customStyle="1">
    <w:name w:val="Нижний колонтитул Знак"/>
    <w:link w:val="944"/>
    <w:uiPriority w:val="99"/>
    <w:qFormat/>
  </w:style>
  <w:style w:type="table" w:styleId="968" w:customStyle="1">
    <w:name w:val="Table Grid Light"/>
    <w:basedOn w:val="92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969" w:customStyle="1">
    <w:name w:val="Plain Table 1"/>
    <w:basedOn w:val="92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0" w:customStyle="1">
    <w:name w:val="Plain Table 2"/>
    <w:basedOn w:val="92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1" w:customStyle="1">
    <w:name w:val="Plain Table 3"/>
    <w:basedOn w:val="92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2" w:customStyle="1">
    <w:name w:val="Plain Table 4"/>
    <w:basedOn w:val="92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Plain Table 5"/>
    <w:basedOn w:val="92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1 Light"/>
    <w:basedOn w:val="923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Grid Table 1 Light - Accent 1"/>
    <w:basedOn w:val="923"/>
    <w:uiPriority w:val="99"/>
    <w:qFormat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Grid Table 1 Light - Accent 2"/>
    <w:basedOn w:val="92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Grid Table 1 Light - Accent 3"/>
    <w:basedOn w:val="92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Grid Table 1 Light - Accent 4"/>
    <w:basedOn w:val="92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Grid Table 1 Light - Accent 5"/>
    <w:basedOn w:val="923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Grid Table 1 Light - Accent 6"/>
    <w:basedOn w:val="92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Grid Table 2"/>
    <w:basedOn w:val="92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Grid Table 2 - Accent 1"/>
    <w:basedOn w:val="923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Grid Table 2 - Accent 2"/>
    <w:basedOn w:val="92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Grid Table 2 - Accent 3"/>
    <w:basedOn w:val="92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Grid Table 2 - Accent 4"/>
    <w:basedOn w:val="92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Grid Table 2 - Accent 5"/>
    <w:basedOn w:val="923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2 - Accent 6"/>
    <w:basedOn w:val="92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3"/>
    <w:basedOn w:val="92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3 - Accent 1"/>
    <w:basedOn w:val="923"/>
    <w:uiPriority w:val="99"/>
    <w:qFormat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3 - Accent 2"/>
    <w:basedOn w:val="92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3 - Accent 3"/>
    <w:basedOn w:val="92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3 - Accent 4"/>
    <w:basedOn w:val="92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3 - Accent 5"/>
    <w:basedOn w:val="923"/>
    <w:uiPriority w:val="99"/>
    <w:qFormat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Grid Table 3 - Accent 6"/>
    <w:basedOn w:val="92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4"/>
    <w:basedOn w:val="923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6" w:customStyle="1">
    <w:name w:val="Grid Table 4 - Accent 1"/>
    <w:basedOn w:val="923"/>
    <w:uiPriority w:val="5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97" w:customStyle="1">
    <w:name w:val="Grid Table 4 - Accent 2"/>
    <w:basedOn w:val="923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998" w:customStyle="1">
    <w:name w:val="Grid Table 4 - Accent 3"/>
    <w:basedOn w:val="923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99" w:customStyle="1">
    <w:name w:val="Grid Table 4 - Accent 4"/>
    <w:basedOn w:val="923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1000" w:customStyle="1">
    <w:name w:val="Grid Table 4 - Accent 5"/>
    <w:basedOn w:val="923"/>
    <w:uiPriority w:val="5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1001" w:customStyle="1">
    <w:name w:val="Grid Table 4 - Accent 6"/>
    <w:basedOn w:val="923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02" w:customStyle="1">
    <w:name w:val="Grid Table 5 Dark"/>
    <w:basedOn w:val="9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03" w:customStyle="1">
    <w:name w:val="Grid Table 5 Dark- Accent 1"/>
    <w:basedOn w:val="9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1" w:themeTint="75" w:fill="a9bee3" w:themeFill="accent1" w:themeFillTint="75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1004" w:customStyle="1">
    <w:name w:val="Grid Table 5 Dark - Accent 2"/>
    <w:basedOn w:val="9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05" w:customStyle="1">
    <w:name w:val="Grid Table 5 Dark - Accent 3"/>
    <w:basedOn w:val="9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06" w:customStyle="1">
    <w:name w:val="Grid Table 5 Dark- Accent 4"/>
    <w:basedOn w:val="9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07" w:customStyle="1">
    <w:name w:val="Grid Table 5 Dark - Accent 5"/>
    <w:basedOn w:val="9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5" w:themeTint="75" w:fill="b3d1eb" w:themeFill="accent5" w:themeFillTint="7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1008" w:customStyle="1">
    <w:name w:val="Grid Table 5 Dark - Accent 6"/>
    <w:basedOn w:val="92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09" w:customStyle="1">
    <w:name w:val="Grid Table 6 Colorful"/>
    <w:basedOn w:val="923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010" w:customStyle="1">
    <w:name w:val="Grid Table 6 Colorful - Accent 1"/>
    <w:basedOn w:val="923"/>
    <w:uiPriority w:val="99"/>
    <w:qFormat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011" w:customStyle="1">
    <w:name w:val="Grid Table 6 Colorful - Accent 2"/>
    <w:basedOn w:val="92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012" w:customStyle="1">
    <w:name w:val="Grid Table 6 Colorful - Accent 3"/>
    <w:basedOn w:val="923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013" w:customStyle="1">
    <w:name w:val="Grid Table 6 Colorful - Accent 4"/>
    <w:basedOn w:val="92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014" w:customStyle="1">
    <w:name w:val="Grid Table 6 Colorful - Accent 5"/>
    <w:basedOn w:val="923"/>
    <w:uiPriority w:val="99"/>
    <w:qFormat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firstCol">
      <w:rPr>
        <w:b/>
        <w:color w:val="245b8c" w:themeColor="accent5" w:themeShade="94"/>
      </w:rPr>
    </w:tblStyle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</w:tblStylePr>
    <w:tblStylePr w:type="lastRow">
      <w:rPr>
        <w:b/>
        <w:color w:val="245b8c" w:themeColor="accent5" w:themeShade="94"/>
      </w:rPr>
    </w:tblStylePr>
  </w:style>
  <w:style w:type="table" w:styleId="1015" w:customStyle="1">
    <w:name w:val="Grid Table 6 Colorful - Accent 6"/>
    <w:basedOn w:val="923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firstCol">
      <w:rPr>
        <w:b/>
        <w:color w:val="245b8c" w:themeColor="accent5" w:themeShade="94"/>
      </w:rPr>
    </w:tblStyle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</w:tblStylePr>
    <w:tblStylePr w:type="lastRow">
      <w:rPr>
        <w:b/>
        <w:color w:val="245b8c" w:themeColor="accent5" w:themeShade="94"/>
      </w:rPr>
    </w:tblStylePr>
  </w:style>
  <w:style w:type="table" w:styleId="1016" w:customStyle="1">
    <w:name w:val="Grid Table 7 Colorful"/>
    <w:basedOn w:val="923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 w:customStyle="1">
    <w:name w:val="Grid Table 7 Colorful - Accent 1"/>
    <w:basedOn w:val="923"/>
    <w:uiPriority w:val="99"/>
    <w:qFormat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Grid Table 7 Colorful - Accent 2"/>
    <w:basedOn w:val="923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Grid Table 7 Colorful - Accent 3"/>
    <w:basedOn w:val="923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Grid Table 7 Colorful - Accent 4"/>
    <w:basedOn w:val="923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7 Colorful - Accent 5"/>
    <w:basedOn w:val="923"/>
    <w:uiPriority w:val="99"/>
    <w:qFormat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7 Colorful - Accent 6"/>
    <w:basedOn w:val="923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st Table 1 Light"/>
    <w:basedOn w:val="923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List Table 1 Light - Accent 1"/>
    <w:basedOn w:val="923"/>
    <w:uiPriority w:val="99"/>
    <w:qFormat/>
    <w:tblPr/>
    <w:tblStylePr w:type="band1Horz">
      <w:tcPr>
        <w:shd w:val="clear" w:color="d0dbf0" w:themeColor="accent1" w:themeTint="40" w:fill="d0dbf0" w:themeFill="accent1" w:themeFillTint="40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List Table 1 Light - Accent 2"/>
    <w:basedOn w:val="923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1 Light - Accent 3"/>
    <w:basedOn w:val="923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1 Light - Accent 4"/>
    <w:basedOn w:val="923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1 Light - Accent 5"/>
    <w:basedOn w:val="923"/>
    <w:uiPriority w:val="99"/>
    <w:qFormat/>
    <w:tblPr/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st Table 1 Light - Accent 6"/>
    <w:basedOn w:val="923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2"/>
    <w:basedOn w:val="923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031" w:customStyle="1">
    <w:name w:val="List Table 2 - Accent 1"/>
    <w:basedOn w:val="923"/>
    <w:uiPriority w:val="99"/>
    <w:qFormat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1032" w:customStyle="1">
    <w:name w:val="List Table 2 - Accent 2"/>
    <w:basedOn w:val="923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33" w:customStyle="1">
    <w:name w:val="List Table 2 - Accent 3"/>
    <w:basedOn w:val="923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34" w:customStyle="1">
    <w:name w:val="List Table 2 - Accent 4"/>
    <w:basedOn w:val="923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1035" w:customStyle="1">
    <w:name w:val="List Table 2 - Accent 5"/>
    <w:basedOn w:val="923"/>
    <w:uiPriority w:val="99"/>
    <w:qFormat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1036" w:customStyle="1">
    <w:name w:val="List Table 2 - Accent 6"/>
    <w:basedOn w:val="923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37" w:customStyle="1">
    <w:name w:val="List Table 3"/>
    <w:basedOn w:val="92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 w:customStyle="1">
    <w:name w:val="List Table 3 - Accent 1"/>
    <w:basedOn w:val="923"/>
    <w:uiPriority w:val="99"/>
    <w:qFormat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 w:customStyle="1">
    <w:name w:val="List Table 3 - Accent 2"/>
    <w:basedOn w:val="92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 w:customStyle="1">
    <w:name w:val="List Table 3 - Accent 3"/>
    <w:basedOn w:val="923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 w:customStyle="1">
    <w:name w:val="List Table 3 - Accent 4"/>
    <w:basedOn w:val="92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List Table 3 - Accent 5"/>
    <w:basedOn w:val="923"/>
    <w:uiPriority w:val="99"/>
    <w:qFormat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List Table 3 - Accent 6"/>
    <w:basedOn w:val="923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List Table 4"/>
    <w:basedOn w:val="92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List Table 4 - Accent 1"/>
    <w:basedOn w:val="923"/>
    <w:uiPriority w:val="99"/>
    <w:qFormat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 w:customStyle="1">
    <w:name w:val="List Table 4 - Accent 2"/>
    <w:basedOn w:val="923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List Table 4 - Accent 3"/>
    <w:basedOn w:val="923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List Table 4 - Accent 4"/>
    <w:basedOn w:val="923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List Table 4 - Accent 5"/>
    <w:basedOn w:val="923"/>
    <w:uiPriority w:val="99"/>
    <w:qFormat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 w:customStyle="1">
    <w:name w:val="List Table 4 - Accent 6"/>
    <w:basedOn w:val="923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5 Dark"/>
    <w:basedOn w:val="923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052" w:customStyle="1">
    <w:name w:val="List Table 5 Dark - Accent 1"/>
    <w:basedOn w:val="923"/>
    <w:uiPriority w:val="99"/>
    <w:qFormat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053" w:customStyle="1">
    <w:name w:val="List Table 5 Dark - Accent 2"/>
    <w:basedOn w:val="923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054" w:customStyle="1">
    <w:name w:val="List Table 5 Dark - Accent 3"/>
    <w:basedOn w:val="923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055" w:customStyle="1">
    <w:name w:val="List Table 5 Dark - Accent 4"/>
    <w:basedOn w:val="923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056" w:customStyle="1">
    <w:name w:val="List Table 5 Dark - Accent 5"/>
    <w:basedOn w:val="923"/>
    <w:uiPriority w:val="99"/>
    <w:qFormat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057" w:customStyle="1">
    <w:name w:val="List Table 5 Dark - Accent 6"/>
    <w:basedOn w:val="923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058" w:customStyle="1">
    <w:name w:val="List Table 6 Colorful"/>
    <w:basedOn w:val="923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059" w:customStyle="1">
    <w:name w:val="List Table 6 Colorful - Accent 1"/>
    <w:basedOn w:val="923"/>
    <w:uiPriority w:val="99"/>
    <w:qFormat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firstCol">
      <w:rPr>
        <w:b/>
        <w:color w:val="254174" w:themeColor="accent1" w:themeShade="94"/>
      </w:rPr>
    </w:tblStyle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</w:style>
  <w:style w:type="table" w:styleId="1060" w:customStyle="1">
    <w:name w:val="List Table 6 Colorful - Accent 2"/>
    <w:basedOn w:val="923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1061" w:customStyle="1">
    <w:name w:val="List Table 6 Colorful - Accent 3"/>
    <w:basedOn w:val="923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1062" w:customStyle="1">
    <w:name w:val="List Table 6 Colorful - Accent 4"/>
    <w:basedOn w:val="923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1063" w:customStyle="1">
    <w:name w:val="List Table 6 Colorful - Accent 5"/>
    <w:basedOn w:val="923"/>
    <w:uiPriority w:val="99"/>
    <w:qFormat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</w:style>
  <w:style w:type="table" w:styleId="1064" w:customStyle="1">
    <w:name w:val="List Table 6 Colorful - Accent 6"/>
    <w:basedOn w:val="923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1065" w:customStyle="1">
    <w:name w:val="List Table 7 Colorful"/>
    <w:basedOn w:val="923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List Table 7 Colorful - Accent 1"/>
    <w:basedOn w:val="923"/>
    <w:uiPriority w:val="99"/>
    <w:qFormat/>
    <w:tblPr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7 Colorful - Accent 2"/>
    <w:basedOn w:val="923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7 Colorful - Accent 3"/>
    <w:basedOn w:val="923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7 Colorful - Accent 4"/>
    <w:basedOn w:val="923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7 Colorful - Accent 5"/>
    <w:basedOn w:val="923"/>
    <w:uiPriority w:val="99"/>
    <w:qFormat/>
    <w:tblPr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7 Colorful - Accent 6"/>
    <w:basedOn w:val="923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ned - Accent"/>
    <w:basedOn w:val="9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073" w:customStyle="1">
    <w:name w:val="Lined - Accent 1"/>
    <w:basedOn w:val="9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74" w:customStyle="1">
    <w:name w:val="Lined - Accent 2"/>
    <w:basedOn w:val="9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1075" w:customStyle="1">
    <w:name w:val="Lined - Accent 3"/>
    <w:basedOn w:val="9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76" w:customStyle="1">
    <w:name w:val="Lined - Accent 4"/>
    <w:basedOn w:val="9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1077" w:customStyle="1">
    <w:name w:val="Lined - Accent 5"/>
    <w:basedOn w:val="9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78" w:customStyle="1">
    <w:name w:val="Lined - Accent 6"/>
    <w:basedOn w:val="92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79" w:customStyle="1">
    <w:name w:val="Bordered &amp; Lined - Accent"/>
    <w:basedOn w:val="923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080" w:customStyle="1">
    <w:name w:val="Bordered &amp; Lined - Accent 1"/>
    <w:basedOn w:val="923"/>
    <w:uiPriority w:val="99"/>
    <w:qFormat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81" w:customStyle="1">
    <w:name w:val="Bordered &amp; Lined - Accent 2"/>
    <w:basedOn w:val="923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1082" w:customStyle="1">
    <w:name w:val="Bordered &amp; Lined - Accent 3"/>
    <w:basedOn w:val="923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83" w:customStyle="1">
    <w:name w:val="Bordered &amp; Lined - Accent 4"/>
    <w:basedOn w:val="923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1084" w:customStyle="1">
    <w:name w:val="Bordered &amp; Lined - Accent 5"/>
    <w:basedOn w:val="923"/>
    <w:uiPriority w:val="99"/>
    <w:qFormat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85" w:customStyle="1">
    <w:name w:val="Bordered &amp; Lined - Accent 6"/>
    <w:basedOn w:val="923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6" w:customStyle="1">
    <w:name w:val="Bordered"/>
    <w:basedOn w:val="923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087" w:customStyle="1">
    <w:name w:val="Bordered - Accent 1"/>
    <w:basedOn w:val="923"/>
    <w:uiPriority w:val="99"/>
    <w:qFormat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088" w:customStyle="1">
    <w:name w:val="Bordered - Accent 2"/>
    <w:basedOn w:val="92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1089" w:customStyle="1">
    <w:name w:val="Bordered - Accent 3"/>
    <w:basedOn w:val="92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90" w:customStyle="1">
    <w:name w:val="Bordered - Accent 4"/>
    <w:basedOn w:val="92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1091" w:customStyle="1">
    <w:name w:val="Bordered - Accent 5"/>
    <w:basedOn w:val="923"/>
    <w:uiPriority w:val="99"/>
    <w:qFormat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092" w:customStyle="1">
    <w:name w:val="Bordered - Accent 6"/>
    <w:basedOn w:val="92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93" w:customStyle="1">
    <w:name w:val="Текст сноски Знак"/>
    <w:link w:val="931"/>
    <w:uiPriority w:val="99"/>
    <w:qFormat/>
    <w:rPr>
      <w:sz w:val="18"/>
    </w:rPr>
  </w:style>
  <w:style w:type="character" w:styleId="1094" w:customStyle="1">
    <w:name w:val="Текст концевой сноски Знак"/>
    <w:link w:val="928"/>
    <w:uiPriority w:val="99"/>
    <w:qFormat/>
    <w:rPr>
      <w:sz w:val="20"/>
    </w:rPr>
  </w:style>
  <w:style w:type="paragraph" w:styleId="1095" w:customStyle="1">
    <w:name w:val="TOC Heading"/>
    <w:uiPriority w:val="39"/>
    <w:unhideWhenUsed/>
    <w:qFormat/>
    <w:rPr>
      <w:rFonts w:ascii="Calibri" w:hAnsi="Calibri" w:eastAsia="Calibri" w:cs="Calibri"/>
      <w:lang w:val="ru-RU" w:eastAsia="ru-RU" w:bidi="ar-SA"/>
    </w:rPr>
  </w:style>
  <w:style w:type="table" w:styleId="1096" w:customStyle="1">
    <w:name w:val="TableNormal"/>
    <w:uiPriority w:val="0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1097" w:customStyle="1">
    <w:name w:val="Абзац списка1"/>
    <w:uiPriority w:val="0"/>
    <w:qFormat/>
    <w:pPr>
      <w:contextualSpacing/>
      <w:spacing w:before="100" w:beforeAutospacing="1" w:after="100" w:afterAutospacing="1"/>
    </w:pPr>
    <w:rPr>
      <w:rFonts w:ascii="Calibri" w:hAnsi="Calibri" w:eastAsia="SimSun" w:cs="Times New Roman"/>
      <w:sz w:val="24"/>
      <w:szCs w:val="24"/>
      <w:lang w:val="ru" w:eastAsia="ru-RU" w:bidi="ar-SA"/>
    </w:rPr>
  </w:style>
  <w:style w:type="character" w:styleId="1098" w:customStyle="1">
    <w:name w:val="Текст примечания Знак"/>
    <w:basedOn w:val="922"/>
    <w:link w:val="930"/>
    <w:uiPriority w:val="99"/>
    <w:semiHidden/>
    <w:qFormat/>
    <w:rPr>
      <w:sz w:val="20"/>
      <w:szCs w:val="20"/>
    </w:rPr>
  </w:style>
  <w:style w:type="numbering" w:styleId="109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DleovFdHgENeVk9PmGbbju0EQ==">CgMxLjAyDmgueXlrYmdjYWV5andjOAByITFncVNMM0VpR05HQ2xWNVFZMFpzamJEUnF2Zmk2eUNxRw==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Левицкий Федор Сергеевич</dc:creator>
  <cp:lastModifiedBy>Федор Левицкий</cp:lastModifiedBy>
  <cp:revision>6</cp:revision>
  <dcterms:created xsi:type="dcterms:W3CDTF">2026-04-07T15:53:00Z</dcterms:created>
  <dcterms:modified xsi:type="dcterms:W3CDTF">2026-04-10T08:32:27Z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A9A699ACE9744C1D8A19CA11ABB8C652_13</vt:lpwstr>
  </property>
</Properties>
</file>