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hint="default"/>
          <w:lang w:val="ru-RU"/>
        </w:rPr>
        <w:t xml:space="preserve">   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Чернобыль. Время осмысления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left="0" w:right="0" w:firstLine="0"/>
        <w:jc w:val="righ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лекция разработана при экспертной поддержке </w:t>
        <w:br/>
        <w:t xml:space="preserve">государственной корпорации по атомной энергии «Росатом»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left"/>
        <w:rPr>
          <w:rFonts w:ascii="Times New Roman" w:hAnsi="Times New Roman" w:eastAsia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yellow"/>
        </w:rPr>
      </w:r>
    </w:p>
    <w:p>
      <w:pPr>
        <w:jc w:val="right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yellow"/>
        </w:rPr>
      </w:r>
    </w:p>
    <w:p>
      <w:pPr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/>
      <w:bookmarkStart w:id="1" w:name="_GoBack"/>
      <w:r/>
      <w:bookmarkEnd w:id="1"/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Москва, 2026 г.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сформировать у учащихся комплексное пред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ставление о Чернобыльской аварии как о сложном технологическом вызове, который был встречен организованными действиями государства и общества, а также стал важным этапом в развитии культуры безопасности и международного сотрудничества в атомной энергетике.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Задачи: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numPr>
          <w:ilvl w:val="0"/>
          <w:numId w:val="1"/>
        </w:numPr>
        <w:ind w:firstLine="709"/>
        <w:jc w:val="both"/>
        <w:spacing w:after="0" w:line="360" w:lineRule="auto"/>
        <w:tabs>
          <w:tab w:val="left" w:pos="1134" w:leader="none"/>
          <w:tab w:val="left" w:pos="1276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Развить у учащихся навыки критического анализа информации о техногенных катастрофах, умение различать факты, оценки и интерпретации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firstLine="709"/>
        <w:jc w:val="both"/>
        <w:spacing w:after="0" w:line="360" w:lineRule="auto"/>
        <w:tabs>
          <w:tab w:val="left" w:pos="1134" w:leader="none"/>
          <w:tab w:val="left" w:pos="1276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Дать слушателям компактную, фактологическую информацию о Чернобыльской АЭС, об аварии и её причинах.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firstLine="709"/>
        <w:jc w:val="both"/>
        <w:spacing w:after="0" w:line="360" w:lineRule="auto"/>
        <w:tabs>
          <w:tab w:val="left" w:pos="1134" w:leader="none"/>
          <w:tab w:val="left" w:pos="1276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Продемонстрировать последовательность событий, эффективность действий при ликвидации последствий аварии и логику принятия решений в условиях ограниченной информации и времени.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firstLine="709"/>
        <w:jc w:val="both"/>
        <w:spacing w:after="0" w:line="360" w:lineRule="auto"/>
        <w:tabs>
          <w:tab w:val="left" w:pos="1134" w:leader="none"/>
          <w:tab w:val="left" w:pos="1276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Сформировать положительную оценку действий государственных органов при ликвидации последствий аварии.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firstLine="709"/>
        <w:jc w:val="both"/>
        <w:spacing w:after="0" w:line="360" w:lineRule="auto"/>
        <w:tabs>
          <w:tab w:val="left" w:pos="1134" w:leader="none"/>
          <w:tab w:val="left" w:pos="1276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Показать единение народа и государства через работу ликвидаторов аварии на ЧАЭС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firstLine="709"/>
        <w:jc w:val="both"/>
        <w:spacing w:after="0" w:line="360" w:lineRule="auto"/>
        <w:tabs>
          <w:tab w:val="left" w:pos="1134" w:leader="none"/>
          <w:tab w:val="left" w:pos="1276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Показать значение международного сотрудничества в решении последствий аварии и развитии ядерной безопасности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firstLine="709"/>
        <w:jc w:val="both"/>
        <w:spacing w:after="0" w:line="360" w:lineRule="auto"/>
        <w:tabs>
          <w:tab w:val="left" w:pos="1134" w:leader="none"/>
          <w:tab w:val="left" w:pos="1276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Сформировать понимание, что современная атомная энергетика основана на строгих нормах безопасности, постоянном совершенствовании технологий и требует высочайшего уровня профессионализма, ответственности и бдительности от всех участников процесса.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Формируемые ценности: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 жизнь;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 гражданственность;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white"/>
        </w:rPr>
        <w:t xml:space="preserve">служение Отечеству и ответственность за его судьбу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Смысловые направления: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Историческое просвещение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Продолжительность: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40 минут.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Целевая аудитория: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школьники 10-11 классов.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Возрастное ограничение: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12+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Тип методического материала: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лекция.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Комплект материалов: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сценарий, презентация,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Слайд 1. Инструкция к интерум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Титульный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26 апреля 1986 года на четвёртом энергоблоке Чернобыльской АЭС произошла одна из самых известных в мире техногенных аварий. Эта дата стала одной из ключевых в истории мировой энергетики и навсегда изменила отношение человечества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 вопросам технологической безопасности. Сегодня, через сорок лет, мы обращаемся к этим событиям не для того, чтобы рассказать известные факты, а чтобы разобраться: как возникла авария, как успешно удалось ликвидировать последствия и какие выводы извлекло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мировое сообщество. Главное, что показал Чернобыль: в чрезвычайной ситуации решающее значение имеют не только отдельные героические действия, но и системная ответственность, профессионализм, осознанность и способность людей действовать как единая команда.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3.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Регистрация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45"/>
        <w:ind w:firstLine="700"/>
        <w:jc w:val="both"/>
        <w:spacing w:after="0" w:line="360" w:lineRule="auto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Прежде чем мы продолжим, прошу вас зарегистрироваться по QR-коду, который вы видите на экране, и заполнить короткую форму — это займёт всего пару минут. Спасибо за вашу активность и вовлечённость!</w:t>
      </w:r>
      <w:r/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Слайд 4. Регистрация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5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 История ЧАЭС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Чтобы понять масштаб аварии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последующих событий, стоит разобраться, какое место атомная энергетика занимала в жизни страны. Советская программа строительства АЭС начала складываться в 1950-е годы. В 1954 году была запущена Обнинская АЭС — первая в мире промышленная атомная электро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станция. После этого руководство страны сделало ставку на широкое использование мирного атома для обеспечения растущих потребностей промышленности и населения. В 1960–1970-е годы темпы атомного строительства резко возросли: вводятся в строй Ленинградская,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Курская и другие станции. Формируются типовые проекты реакторов. К началу 1980-х годов СССР становится одним из мировых лидеров по объёму атомной генерации, а атомная энергетика воспринимается как символ научно-технического прогресса.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1970 году на берегу реки Припяти, в восемнадцати киломе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трах от города Чернобыль, начинается строительство Чернобыльской АЭС. В трёх километрах от станции вырастает новый город — Припять, жизнь которого полностью связана с работой станции. К весне 1986 года здесь проживает более сорока девяти тысяч человек. На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самой станции работают четыре энергоблока с реакторами мощностью по 1000 МВт каждый — это была одна из крупнейших АЭС в Советском Союзе. Чтобы понять, насколько она была мощной, можно сказать, что один реактор ЧАЭС мог питать 10 миллионов обычных лампочек.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val="ru-RU"/>
        </w:rPr>
        <w:t xml:space="preserve">6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. Принцип работы атомного реактора на ЧАЭС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Прежде чем рассказывать об аварии, необходимо обозначить, как устроена атомная электростанция. Ядерный реактор — это устройство, в котором происходит контролируемая цепная реакция деления атомных ядер, которая сопровождается выделением энергии.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  <w:t xml:space="preserve">(Нейтрон, частица без заряда, сталкивается с ядром атома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  <w:t xml:space="preserve"> делящегося материала — урана или плутония, — ядро раскалывается на два фрагмента, выделяя энергию и несколько новых нейтронов, которые, в свою очередь, вызывают деление следующих ядер. Так возникает цепная реакция, при которой происходит нагрев топлива.)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Топливом для реактора в основном являются изотопы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рана или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лутония. Один килограмм урана способен произвести столько же электроэнергии, сколько производит сжигание сотни тонн угля, — именно это делает ядерную энергетику одной из самых эффективных.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Чтобы реакция оставалась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управляемой её безопасность обеспечивается многократным дублированием защитных механизмов. Управляющие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стержни, изготовленные из материалов-поглотителей нейтронов (нап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ример, боросодержащих сплавов), вводятся в активную зону или выводятся из неё, регулируя интенсивность реакции. Система охлаждения отводит колоссальное количество тепла: вода под давлением циркулирует через активную зону, нагревается, превращается в пар, 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оторый вращает турбины и приводит в действие генераторы электричества. Наконец, корпус реактора и многоуровневые системы безопасности — включая аварийное охлаждение и защитные барьеры — удерживают радиоактивные материалы внутри и защищают окружающую среду.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Важно понимать: при соблюдении всех правил и процедур эта система считается высоконадежной, её безопасность обеспечивается многократным дублированием защитных механизмов.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val="ru-RU"/>
        </w:rPr>
        <w:t xml:space="preserve">7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. Причины аварии: цепочка решений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25 апреля 1986 года четвёртый энергоблок планировалось остановить для планового ремонта. Остановку решили совместить с экспериментом, проверить, как долго станция сможет обеспечивать себя электроэнергие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й, используя отключенный и остывающий реактор для выработки пара, который вращал турбину генератора. Подобные испытания на ЧАЭС проводились и раньше, однако на этот раз рабочая программа эксперимента не была согласована с учеными и вышестоящим начальством.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Перед началом испытаний была отключена систем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 аварийного охлаждения реактора (САОР), а мощность реактора стали снижать, готовясь к остановке. Однако в подготовительные работы вмешались энергетики. Они потребовали, чтобы станцию заглушили позднее, потому что в энергосети региона не хватало мощности.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Из-за этого отключение реактора и сам эксперимент отложили на 11 часов.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Дневная смена сотрудников АЭС, которая готовилась к эксперименту и знала программу, сменилась вечерней, а затем и ночной сменой. Ночные операторы, ожидавшие работу с остановленным и остывающим реактором, узнали о предстоящих испытаниях уже на месте.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Далее события развивались лави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нообразно.  У реактора ЧАЭС была конструктивная особенность, о которой на тот момент еще не знали: при снижении мощности его управляемость снижалась, работа реактора становилась нестабильной. Перед началом эксперимента мощность реактора «провалилась» ниже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100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мегаватт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(при  нормально мощности работы от 400 до 1000 мВт)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Персонал станции, пытаясь поднять мощность и разогнать реактор,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создал условия для развития неконтролируемой реакции в реакторе. Примерно за полторы минуты до катастрофы приборы показали, что запас реактивности достиг критически низких значений, требующих немедленной остановки. Тем не менее персонал продолжил испытания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пытаясь поднять мощность. Более того — аварийная защита была специально заблокирована, чтобы иметь возможность повторить эксперимент в случае неудачи.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Таким образом были нарушены все правила безопасности – отключены все основные системы контроля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Когда температура реакт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ора начала быстро расти, сотрудники попытались опустить графитовые стержни, которые в опущенном состоянии должны были затормозить реакцию, однако до конца довести это дело не смогли. Произошло непредвиденное. Тепловая мощность реактора мгновенно подскочила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в 13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раз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200 мВт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до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26 000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Вт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Вода -теплоноситель мгновенно закипела, циркониевые оболочки топливных стержней расплавились, при реакции с паром выделился водород. Первый взрыв, вероятно вызванный перегретым паром, сорвал крышку реактора вес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ом около 2000 тонн и разрушил крышу здания. Через несколько секунд второй взрыв — предположительно водородно-кислородная смесь — разрушил активную зону и прекратил цепную реакцию. Графит внутри реактора загорелся, в небо поднялся столб радиоактивного дыма.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Что показала восстановленная хроника событий? Авария стала результатом не 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дной ошибки, а целой цепочки несогласованных решений: программа эксперимента не была одобрена вышестоящим начальством, отсутствие коммуникации между сменами, легкомысленное отношение к безопасности (сознательное отключение систем безопасности для облегчени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я проведения эксперимента), игнорирование показаний приборов. По отдельности эти факторы не привели бы к аварии. Даже будучи последовательными звеньями цепи событий, они могли бы не сработать — если хотя бы на одном из этапов работниками были проявлены вни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мательность и профессионализм. Это, пожалуй, главный урок причин Чернобыля: безопасность — не набор формальных инструкций, а образ мышления, в котором каждый работник постоянно анализирует риски, предвидит возможные сценарии развития аварийных ситуаций и 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ринимает решения, направленные на предотвращение инцидентов, а не просто следует предписаниям. Это культура, где внимание к деталям, взаимный контроль и готовность остановить процесс при малейшем признаке опасности становятся естественной нормой поведения.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val="ru-RU"/>
        </w:rPr>
        <w:t xml:space="preserve">8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. Первые часы: реакция и решения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ночь с 25 на 26 апреля на площадке ЧАЭС находились более 400 человек (сотрудники станции и строители новых энергоблоков)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3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Масштаб аварии стал понятен не сразу — ничего подобного во всём мире ещё не случалось. Но уже в первые минуты были приняты критически важные решения для ликвидации аварии и обеспечения безопасности населения.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Первоочередной задачей стала борьба с пожаром. Прибывшие пожарные расчёты приступили к тушению крыши машинного зала, где располагались маслосистемы турбогенераторов. Пожарные не имели точных данных об уровне радиации — местные стационарные дозим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етры либо вышли из строя из-за взрыва, либо были погребены под обломками. У них не было спецзащиты от радиации — только брезентовые робы и каски. Они тушили огонь на крыше машинного зала, пока под ногами плавился битум и графит. Их целью было не дать огню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перекинуться на соседни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блок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 пяти часам утра, усилиями пожарных расчётов, пожар был потушен, а пожарные эвакуированы в госпиталь.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Параллельно в ночные часы было принято решение об остановке трёх оставшихся работающих реакторов ЧАЭС. Уже к 11 утра 26 апреля в Москве была создана правительственная комиссия, которая взяла на себя руководство ликвидацией.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 полудню первый вертол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ёт, оснащённый дозиметрическим оборудованием, выполнил замеры над разрушенным блоком. Результаты оказались тревожными: несмотря на потушенный пожар, из реактора продолжали поступать радиоактивные вещества. Уровень излучения в воздухе над реактором составля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 от 500 до 1500 рентген в час, то есть в тысячу — три тысячи раз выше безопасного уровня (допустимая норма — 50 микрорентген в час). Замеры температуры показали, что внутри реактора продолжается процесс выделения тепла — по всей вероятности, горел графит.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Обратите внимание на скорость принятия решений. Прошло менее суток с момента взрыва — а уже действует правительственная комиссия, проведена воздушная разведка, начата эвакуация облучённых, собраны данные, разворачиваютс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я военные части, формируются решения о вызове новых специалистов и способах их размещения по требованиям радиационной безопасности. В условиях, когда скорость передачи информации была ещё достаточно низкой (ни интернета, ни мобильных телефонов, ни возможно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сти действовать дистанционно при проверке уровня радиации — всё собиралось вручную), а прецедентов подобных аварий не существовало, государственные органы действовали оперативно, не дожидаясь полной картины и не увязая в бесконечных согласованиях действий.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val="ru-RU"/>
        </w:rPr>
        <w:t xml:space="preserve">9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. Памятка о радиации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Прежде чем мы продолжим, необходимо внести ясность относительно радиации и её опасности для живых организмов. Постараюсь оп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исать всё простыми словами, чтобы не усложнять лекцию. Радиация — это такое излучение (поток частиц или квантов энергии), которое при прохождении через вещество способно выбивать электроны из атомов. В результате образуются ионы, а в живых тканях запускают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ся процессы, которые могут приводить к повреждению клеток и, главное, ДНК. Отсюда и практический смысл радиационной безопасности: нас интересует не «сам факт излучения», а то, какую дозу получит организм и какие последствия для организма это может вызвать.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before="240" w:after="240"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Естественный радиационный фон существует всегда и может заметно различаться по регионам. Среднее значение радиационного фона составляет порядка 2–3 миллиЗиверта (мЗв) в год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4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before="240" w:after="240"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Для персонала, работающего с АЭС, допустимые пределы выше, потому что предполагается обучение, контроль, дозиметрия и средства защиты. Это регламентированный риск при обязательных мерах защиты. Для персонала АЭС допускаются нормы в 20 мЗв в год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5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before="240" w:after="240"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Отдельный большой блок — опасные и смертельные дозы. Дозы порядка 0,1 Зв (100 мЗв) обычно не вызывают острой лучевой болезни. В диапазоне примерно 0,5–1 Зв могут появляться ранние симптомы и заметные изменения в крови; требуется медиц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инское наблюдение. Около 2–3 Зв и выше речь уже идёт о тяжёлой лучевой болезни без лечения и высоких рисках осложнений. Существуют и более высокие уровни облучения, но мы их затрагивать не будем, потому что они, как правило, ведут к печальным последствиям.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before="240" w:after="240"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Теперь, имея представление об опасностях радиации, вернёмся к тому, как ликвидаторы старались эту радиацию усмирить.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val="ru-RU"/>
        </w:rPr>
        <w:t xml:space="preserve">10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. Тампонирование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Перед тем как продолжить рассказ, я хочу задать вопрос: как вы думаете, что такое тампонирование?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Первая и главная проблема, с которой столкнулись ликвидаторы, — смертельный уровень излучения от уничтоженного реактора. Ни один человек не мог нахо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диться рядом с разрушенным реактором дольше нескольких секунд. Не исключалась и возможность повторных взрывов — никогда ранее подобных аварий не происходило, и никто точно не знал, как поведёт себя топливо вне реактора, как будет протекать ядерная реакция.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составе правительственной комиссии прибыл академик Валерий Алексеевич Легасов — заместитель директора Института атомной энергетики имени Курчатова. Он сразу включился в работы по ликвидации, лично прово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дил облеты разрушенного 4-го блока на вертолете и подходил к реактору на бронетранспортере для измерений. Он пробыл на станции в общей сложности 60 суток вместо рекомендованных 14, принимая ключевые решения и информируя правительство о реальной обстановке.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Именно Легасовым было принято нестандартное решение — засыпать повреждённый энергоблок различными материалами с вертолётов. Материалы подбирались для решения конкретных задач: так соединения бора при попадании в зону реактора препятствовали возобнов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лению цепной реакции; доломит, песок и глина создавали фильтрующий слой, снижая радиационные выбросы; свинец поглощал тепло, не давая расплавленному топливу прожечь фундамент и попасть в грунтовые воды. Эту операцию назвали общим термином «тампонирование».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Только за первые сутки к Припяти были переброшены десятки вертолётов — всего в зоне аварии работали лётчики из сорока восьми частей со всего Советского Союза. В воздухе одновременно находилось тридцать-сорок маши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н, каждая сбрасывала груз с интервалом в две минуты. Условия были предельно тяжёлыми: высокая температура над реактором резко снижала тягу двигателей, вертолёты проваливались на двадцать-тридцать метров; рядом возвышалась стосорокаметровая труба, столкнове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ние с которой означало гибель. Сброс производился на скорости сто — сто двадцать километров в час с высоты двухсот метров. Эффективность тампонирования нарастала день ото дня: 27 апреля сбросили около 150 тонн, 30 апреля — уже 1500 тонн, 1 мая — 1900 тонн.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К 11 часам 1 мая удалось погасить горящее пятно внутри реактора, а радиоактивный шлейф сошёл на нет. Всего с 27 апреля по 10 мая, по данным МАГАТЭ, было выполнено более 1800 вертолёто-вылетов, в ходе которых на реактор сбросили свыше 5000 тонн материалов.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Это решение — яркий пример того, как в непредвиденных обстоятельствах объединение научной мысли, инженерной смекалки и ресурсов со всех концов государства позволило найти эффективный выход.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val="ru-RU"/>
        </w:rPr>
        <w:t xml:space="preserve">11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. Спасение людей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26 апреля в 23:00 государственная комиссия, во главе с заместителем совета министров СССР Б.Е. Щербиной, приняла решение об эвакуации города Припяти — более 49 000 человек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6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Задача была колоссальной: в городе просто не существовало транспорта, способного одномоментно вывезти всё население. В кратчайшие сроки из Киева и области в Припять и населенные пункты окружающие ЧАЭС было направлено более 1100 автобусов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7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Днём 27 апреля была объявлена эвакуация города. За два с пол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овиной часа все жители Припяти были вывезены на автобусах из города в пункты временного проживания. Два с половиной часа и пятьдесят тысяч человек — это результат чёткой координации между военными, транспортными службами, местными властями и руководством 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иквидации. В последующие дни зона эвакуации расширялась: сначала до десяти, а со 2 мая — до тридцати километров от станции. Всего было эвакуировано 116 тысяч человек. Для бывших жителей Припяти за два года, к 1988 году, был построен новый город — Славутич.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Эвакуация такого масштаба в столь сжатые сроки — факт, который заслуживает отдельного внимания.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То, что она осуществилась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коротки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срок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и 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без ошибок стал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возможно благодаря тому, что государственные структуры действовали как единый механизм, а население проявило дисциплину и доверие к принимаемым решениям.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val="ru-RU"/>
        </w:rPr>
        <w:t xml:space="preserve">2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. Ликвидация на земле: борьба с невидимым врагом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 27 апреля регулярные замеры радиации вокруг АЭС начали проводить военные специалисты войск радиационной, химической и биологической защиты на специально оборудованных машинах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8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К середине мая численность войск РХБЗ в зоне аварии составляла около тридцати тысяч человек. Они занимались радиационной разведкой и мониторингом, дезактивацией техники и местности, сбором и захоронением радиоактивных отходов.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Между тем перед ликвидаторами встали критические вопросы: где находится топливо из разрушенного реактора? Сколько его выброшено наружу, а сколько осталось внутри? Существует ли реактор вообще? По собранным 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анным, за пределы блока было выброшено около четырёх процентов топлива, причём значительная его часть не вышла за территорию станции. Девяносто шесть процентов осталось внутри. Расплавленное топливо проплавило днище реактора и стекло в подвальные помещения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образовав так называемый кориум — лаваподобную массу. Это создало две новые угрозы: горячее топливо могло проплавить стенки бассейнов с водой, что грозило паровым взрывом, а также могло прожечь фундамент и попасть в грунтовые воды, а через них — в Днепр.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Для решения пе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рвой проблемы были отобраны сотрудники ЧАЭС, хорошо знавшие внутреннюю планировку энергоблока. Они пробрались по затопленным галереям к задвижкам дренажных систем и открыли их вручную, обеспечив слив воды. Следом военные за тридцать минут проложили полтора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километра труб по заражённой территории для откачки радиоактивной воды. Для решения второй проблемы были приглашены шахтёры, которые за месяц пробили 136-метровый тоннель под энергоблоком и создали дополнительную бетонную подушку для укрепления фундамента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9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Отдельной проблемой стали высокорадиоактивные обломки на крыше энергоблока, заброшенные туда взрывом. Ветер регулярно сдувал с них заражённую пыль, распространяя загрязнение. Попытки использовать дистанционно управляемых роб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отов провалились — радиация выжигала их микросхемы. Очищать крышу пришлось людям. Из-за экстремального уровня облучения каждый работник в специальной защите совершал лишь три-четыре коротких выхода на крышу, после чего его навсегда выводили из зоны аварии.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Масштаб привлечённых сил поражает: на разных этапах ликвидации были одновременно задействованы от шестнадцати до тридцати тысяч человек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en-US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только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дезактивационных работах, более двухсот десяти воинских частей  (свыше девяноста тысяч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военнослужащих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— в самый острый период с апреля по декабрь 1986 года), восемнадцать с половиной тысяч сотрудников органов внутренних дел, свыше семи тысяч сотрудников ра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диологических лабораторий и санэпидстанций. Врачи обеспечивали непрерывный контроль за облучёнными и проводили лечебно-профилактические мероприятия. Строгий дозиметрический контроль и постоянная ротация людей позволяли выполнять задачи, минимизируя потери.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Слово «дезактивация» в те месяцы вмещало в себя огромный спектр работ: мытьё зданий и дорог специальными растворами, перекопка и замена грунта, снос и захоронение заражённых строений и участков леса в зоне поражения. Даже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простая помывка в душе для ликвидаторов подчинялась строгому протоколу: сначала холодная вода — чтобы закрыть поры и смыть радиоактивную пыль, затем горячая с мылом — чтобы вымыть загрязнения, потом снова холодная — чтобы поры закрылись перед выходом. Раб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ота была тяжёлой и до возведения саркофага над реактором часто казалась бесконечной: реактор продолжал выбрасывать радиоактивную пыль с тёплыми потоками воздуха, которая оседала на только что отмытые поверхности, и дезактивацию приходилось начинать заново.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0" w:right="0" w:firstLine="720"/>
        <w:jc w:val="both"/>
        <w:spacing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Ликвидаторами становились люди самых разных профессий — военные и гражданские специалисты, сотрудники аварийных служб и персонал станции, инженеры, строители, водители, медики. Учёные, рабочие-профессионалы и специалисты привлекались со всего Советского Со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юза.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общей сложности к ликвидации последствий аварии в 30-км зоне вокруг ЧАЭС в 1986–1987 годах участвовали 300 тысяч человек. Всего за период с 1986 по 1990 год в противоаварийных работах принялии участие до 600 тысяч человек</w:t>
      </w:r>
      <w:r>
        <w:rPr>
          <w:rStyle w:val="924"/>
          <w:rFonts w:hint="default" w:ascii="Times New Roman" w:hAnsi="Times New Roman" w:eastAsia="Times New Roman"/>
          <w:sz w:val="28"/>
          <w:szCs w:val="28"/>
          <w:highlight w:val="white"/>
          <w:lang w:val="ru-RU"/>
        </w:rPr>
        <w:footnoteReference w:id="10"/>
      </w:r>
      <w:r>
        <w:rPr>
          <w:rFonts w:hint="default" w:ascii="Times New Roman" w:hAnsi="Times New Roman" w:eastAsia="Times New Roman"/>
          <w:sz w:val="28"/>
          <w:szCs w:val="28"/>
          <w:highlight w:val="white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/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Эвакуированному населению поступала гуманитарная помощь из разных уголков страны. Это было подлинное единство — не декларативное,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а выраженное в конкретных делах: в новых домах для пострадавших, в военных добровольцах из разных частей страны, в тысячах часов самоотверженной работы под невидимым, но смертельно опасным излучением, когда участники понимали риски и шли на них осознанно.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val="ru-RU"/>
        </w:rPr>
        <w:t xml:space="preserve">3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. Саркофаг: закрыть угрозу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Впервые идея накрыть аварийный блок защитной конструкцией прозвучала уже в мае. 15 мая правительство СССР поручило Минсредмашу выполнение работ, связанных с консервацией четвертого энергоблока ЧАЭС и относящихся к нему сооружений, а также захоронение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радиоактивных отходов. В Чернобыль сразу вылетел глава ведомства Ефим Славский. Несмотря на преклонный возраст (88 лет), он имел богатырское здоровье. Министр лично прошел весь машинный зал до развалин реактора, оценил обстановку, сказал: «Будем работать»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11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Проектирование объекта «Укрытие» — так его назвали официально — началос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ь 20 мая 1986 года. Из восемнадцати рассмотренных вариантов к августу был утверждён один. Задержка объяснялась необходимостью проверить, можно ли использовать уцелевшие конструкции энергоблока как опору или придётся проектировать сооружение целиком с нуля.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Именно Славский настоял на полном захоронении реактора в бетон, отвергнув академические рекомендации, и координировал разведку радиационных полей с использованием защищенных машин.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Количество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требуемых строительных материалов было огромным. Что бы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загрязнённая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»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строительная техника не выезжала за пределы закрытой зоны, на  её территории было построено 3 бетонных завода.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строительной площадке техника специально обш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ивалась свинцовыми листами для защиты людей, а машины, работавшие непосредственно у стен реактора, были переоборудованы под дистанционное управление. Необходимо было закрыть все развалы и провалы — бетоном, грунтом, тяжёлыми экранами — лишь бы радиация ост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алась внутри. При этом необходимо было регулярно менять технику, которая из-за работы вблизи реактора постоянно подвергалась радиационному заражению. Были построены специальные механизмы для доставки и заливки бетона к стенам реактора без участия человека.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Что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бы сделать толстые бетонные стены саркофага, потребовалось разработать и доставить огромные каркасные стены из металла. Они собирались большими блоками, достигая размеров 50 метров в ширину и 12,5 метров в высоту</w:t>
      </w:r>
      <w:r>
        <w:rPr>
          <w:rStyle w:val="924"/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  <w:footnoteReference w:id="12"/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. Масса одной такой карк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асной стены доходила до 120 тонн и больше. Для их доставки и монтажа использовали существующую железную дорогу, проложенную вдоль машинного зала ещё при строительстве самой АЭС, и специальные краны, способные поднимать до 250 тонн на расстоянии в 50 метров</w:t>
      </w:r>
      <w:r>
        <w:rPr>
          <w:rStyle w:val="924"/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  <w:footnoteReference w:id="13"/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.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Когда потребовалось выводить монтажников на площадку, продолжительность одной смены могла составлять 15 минут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14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в зависимости от радиационного фона. При этом работы велись круглосуточно. В такие дни на строительной площадке могло находиться до 10 000 человек в день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15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Постоянно присут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ствовали дозиметристы, которые в конце смены измеряли радиационный фон всех участвовавших в смене. Если участник работ получал дозы, близкие к допустимому лимиту, его снимали с работ и отправляли на восстановление. Выбывшего работника сразу заменяли новым.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Чем выше поднимались стены, тем больше снижался радиационный фон, и рабочие смены увеличивались до часа, двух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16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 более. При этом в воздухе от постоянно перемещающейся техники висело много радиоактивной пыли. Чтобы снизить её количество, стройплощадку постоянно заливали водой, отчего формировалось огромное количество грязи.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Несмотря на все трудности, саркофаг был возведён за двести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шесть дней — срок, беспрецедентный для объекта таких масштабов и сложности. Сооружение высотой более пятидесяти метров с внешними размерами двести на двести метров накрыло четвёртый энергоблок, прекратив выбросы радиоактивных элементов в окружающую среду.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val="ru-RU"/>
        </w:rPr>
        <w:t xml:space="preserve">4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Последствия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Уже в 1986 году стартовали масштабные научные исследования последствий аварии, были созда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ны специальные центры, в том числе Всесоюзный центр радиационной медицины. Советская наука получила беспрецедентный комплекс задач — от изучения миграции радионуклидов в экосистемах до разработки принципиально новых подходов к безопасности атомных станций.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Летом 1986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года СССР представил МАГАТЭ (Международное агентство по атомной энергии) доклад о причинах и возможных последствиях аварии. Это сотрудничество стало важным шагом: впервые информация о столь масштабном инциденте была передана международному экспертному соо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бществу для совместного анализа. В 1988 году на конференции в Обнинске началось более открытое обсуждение чернобыльских уроков. Важно отметить, что зарубежное информационное освещение аварии нередко содержало значительные преувеличения, однако объективная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оценка, проведённая в том числе международными организациями, показала: благодаря оперативным и организованным действиям удалось существенно минимизировать долгосрочные последствия для населения и экосистемы. Тем не менее уроки были извлечены серьёзнейшие.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Разбор причин аварии выявил комплекс системных проблем: конструктивные особенности реакторов РБМК, опасное поведение реактора на малых мощностях, недостаточный обмен информацией о нарушениях между станциями, формальное отношение 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нормам безопасности. В кратчайшие сроки на всех реакторах типа РБМК был проведён комплекс мероприятий, исключающих саму возможность повторения подобного сценария. Изменились критерии размещения атомных станций: было точно определено допустимое расстояние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 АЭС до городов, объектов культуры, здравоохранения, зон отдыха и заповедников в зависимости от численности населения и мощности станции. Площадки для новых АЭС выбираются не ближе двадцати пяти километров от городов с населением более ста тысяч жителей.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Чернобыльская авария нанесла серьёзный удар по мировой атомной энергетике. С 1986 по 2002 год в странах Северной Америки и Западной Европы не было пост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роено ни одной новой АЭС. В СССР было законсервировано и прекращено строительство ряда новых станций и энергоблоков. Но именно этот кризис стал мощнейшим импульсом для глобального пересмотра норм ядерной безопасности, разработки новых защитных технологий 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совершенствования систем управления рисками. Сформированный на чернобыльском опыте многоуровневый подход к безопасности и аварийному реагированию привёл к тому, что повторение катастрофы такого масштаба на современных российских АЭС считается невозможным.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val="ru-RU"/>
        </w:rPr>
        <w:t xml:space="preserve">5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. О чём важно помнить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Чернобыльская авария стала результатом цепочки нескоординированных и непроверенных решений и действий. Она была преодолена благодаря обратному: ответственности, профессионализму, осознанным действиям и способности граждан огромной страны объединитьс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я для решения общей беды. Государство обеспечило эвакуацию, мобилизацию ресурсов, привлечение лучших учёных и специалистов. Общество ответило консолидацией — сотни тысяч людей из всех республик и ведомств встали на защиту от невидимой угрозы.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Говоря о ликвидаторах, важно помнить: их подвиг измеряется не только цифрами и сроками, но и готовностью принять ответств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енность, защитить других ценой собственного здоровья. Подлинный смысл их героизма — профессионального и гражданского — в том, что они сделали шаг навстречу опасности, когда от действий конкретных людей зависели жизнь, безопасность и будущее целых регионов.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Чернобыль учит нас: технологии не бывают опасными или безопасными сами по себе — всё определяется тем, в чьих руках они находятся и насколько серьёзно относятся к ответственности те, кто ими управляет. От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ветственность, осознанность, профессионализм и готовность к взаимопомощи — вот что в конечном счёте определяет, станет ли сложная технология благом или источником беды. Это урок, актуальный далеко за пределами атомной энергетики, — урок для каждого из нас.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Слайд 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val="ru-RU"/>
        </w:rPr>
        <w:t xml:space="preserve">6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. Лучшая в мире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Сегодня мировая атомная энергетика продолжает развиваться. Десять ведущих стран мира производят более восьмидесяти процентов всего атомного электричества. Россия стоит на первом месте среди остальных стран в области развития атомных технологий.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2026 году в России работают тридцать пять энергоблоков на одиннадцати АЭС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footnoteReference w:id="17"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На них стоят самые современные и безопасные реакторы поколения III+, такие как ВВЭР-1200, которые определяют для всего мира требования безопасности и защиты, которым должны соответствовать современные реакторы.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России существует единственный в мире атомный ледокольный флот, обеспечивающий навигацию по Северному морскому пути и освоение Арктики. Россия — единственное государство, в котором создали плавучую атомную электростанцию «Академик Ломоносов». Она спец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ально создана для работы в суровых условиях Крайнего Севера, при этом демонстрирует надёжность и мобильность. Вслед за «Академиком Ломоносовым» строятся  АЭС малой мощности, чтобы снабжать электроэнергией наиболее отдалённые уголки нашей необъятной страны.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Помимо плавучих АЭС, наши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учёные — единственные, кто спроектировали замкнутый ядерный топливный цикл, позволяющий максимально эффективно использовать топливо. Это позволит в будущем снизить опасность загрязнения радиоактивными отходами до минимума — они просто не будут оставаться.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/>
      <w:bookmarkStart w:id="0" w:name="_heading=h.yykbgcaeyjwc"/>
      <w:r/>
      <w:bookmarkEnd w:id="0"/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Наша страна сохраняет лидирующие позиции на мировом рынке строительства АЭС: российские реакторы работают или строятся в Венгрии, Турции, Индии, Китае, Бангладеш, Египте и других странах.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Но г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лавное — это люди. Российская атомная отрасль держится на профессионалах высочайшего класса, для которых безопасность — абсолютный приоритет. Каждый сотрудник, от оператора до руководителя, понимает, насколько ответственна его работа перед страной и миром.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Современная российская атомная энергетика — это симбиоз проверенных временем традиций и прорывных инноваций, где каждая система дублирована, каждое решение просчитано, а безопасность встроена на уровне проектирования и работы с персоналом. Регуляр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но проводятся мероприятия для поддержания осознанного отношения персонала АЭС к своей работе. Сегодня атомная отрасль не только способствует энергетической независимости России, но и задаёт мировые стандарты в области мирного использования атомной энергии.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Российский атом — это технологии завтрашнего дня, работающие уже сегодня.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spacing w:line="36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Слайд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val="ru-RU"/>
        </w:rPr>
        <w:t xml:space="preserve">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 1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val="ru-RU"/>
        </w:rPr>
        <w:t xml:space="preserve">7-20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. Обратная связь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Благодарю за внимание — надеюсь, эта лекция вдохновит вас на дальнейшее изучение технологий атомной промышленности. Прошу вас оставить обратную связь перейдя по QR-коду, указанному на экране.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850" w:bottom="1134" w:left="1701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Georgia">
    <w:panose1 w:val="02040503050406030204"/>
  </w:font>
  <w:font w:name="SimSun">
    <w:panose1 w:val="02020603020101020101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0"/>
        <w:szCs w:val="20"/>
        <w:highlight w:val="yellow"/>
      </w:rPr>
    </w:pPr>
    <w:r>
      <w:rPr>
        <w:sz w:val="20"/>
        <w:szCs w:val="20"/>
        <w:highlight w:val="yellow"/>
      </w:rPr>
    </w:r>
    <w:r>
      <w:rPr>
        <w:sz w:val="20"/>
        <w:szCs w:val="20"/>
        <w:highlight w:val="yellow"/>
      </w:rPr>
    </w:r>
    <w:r>
      <w:rPr>
        <w:sz w:val="20"/>
        <w:szCs w:val="20"/>
        <w:highlight w:val="yellow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59" w:lineRule="auto"/>
      </w:pPr>
      <w:r>
        <w:separator/>
      </w:r>
      <w:r/>
    </w:p>
  </w:footnote>
  <w:footnote w:type="continuationSeparator" w:id="0">
    <w:p>
      <w:pPr>
        <w:spacing w:before="0" w:after="0" w:line="259" w:lineRule="auto"/>
      </w:pPr>
      <w:r>
        <w:continuationSeparator/>
      </w:r>
      <w:r/>
    </w:p>
  </w:footnote>
  <w:footnote w:id="2">
    <w:p>
      <w:pPr>
        <w:spacing w:after="0" w:line="240" w:lineRule="auto"/>
        <w:rPr>
          <w:rFonts w:hint="default" w:ascii="Times New Roman" w:hAnsi="Times New Roman" w:cs="Times New Roman"/>
          <w:color w:val="000000" w:themeColor="text1"/>
          <w:sz w:val="20"/>
          <w:szCs w:val="20"/>
          <w:highlight w:val="whit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white"/>
          <w:vertAlign w:val="superscript"/>
          <w14:textFill>
            <w14:solidFill>
              <w14:schemeClr w14:val="tx1"/>
            </w14:solidFill>
          </w14:textFill>
        </w:rPr>
        <w:footnoteRef/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whit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</w:rPr>
        <w:instrText xml:space="preserve"> HYPERLINK "https://elib.biblioatom.ru/text/istoriya-atomnoy-energetiki_v4_2002/p26/" \h </w:instrText>
      </w:r>
      <w:r>
        <w:rPr>
          <w:rFonts w:hint="default" w:ascii="Times New Roman" w:hAnsi="Times New Roman" w:cs="Times New Roman"/>
          <w:sz w:val="20"/>
          <w:szCs w:val="20"/>
        </w:rPr>
        <w:fldChar w:fldCharType="separate"/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white"/>
          <w14:textFill>
            <w14:solidFill>
              <w14:schemeClr w14:val="tx1"/>
            </w14:solidFill>
          </w14:textFill>
        </w:rPr>
        <w:t xml:space="preserve">https://elib.biblioatom.ru/text/istoriya-atomnoy-energetiki_v4_2002/p26/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whit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whit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white"/>
          <w14:textFill>
            <w14:solidFill>
              <w14:schemeClr w14:val="tx1"/>
            </w14:solidFill>
          </w14:textFill>
        </w:rPr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highlight w:val="white"/>
          <w14:textFill>
            <w14:solidFill>
              <w14:schemeClr w14:val="tx1"/>
            </w14:solidFill>
          </w14:textFill>
        </w:rPr>
      </w:r>
    </w:p>
  </w:footnote>
  <w:footnote w:id="3">
    <w:p>
      <w:pPr>
        <w:spacing w:after="0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</w:rPr>
        <w:footnoteRef/>
      </w:r>
      <w:r>
        <w:rPr>
          <w:rFonts w:hint="default" w:ascii="Times New Roman" w:hAnsi="Times New Roman" w:eastAsia="Times New Roman" w:cs="Times New Roman"/>
          <w:sz w:val="20"/>
          <w:szCs w:val="20"/>
        </w:rPr>
        <w:t xml:space="preserve"> https://elib.biblioatom.ru/text/atomnaya-energiya_t61-5_1986/p307/</w:t>
      </w:r>
      <w:r>
        <w:rPr>
          <w:rFonts w:hint="default" w:ascii="Times New Roman" w:hAnsi="Times New Roman" w:eastAsia="Times New Roman" w:cs="Times New Roman"/>
          <w:sz w:val="20"/>
          <w:szCs w:val="20"/>
        </w:rPr>
      </w:r>
      <w:r>
        <w:rPr>
          <w:rFonts w:hint="default" w:ascii="Times New Roman" w:hAnsi="Times New Roman" w:eastAsia="Times New Roman" w:cs="Times New Roman"/>
          <w:sz w:val="20"/>
          <w:szCs w:val="20"/>
        </w:rPr>
      </w:r>
    </w:p>
  </w:footnote>
  <w:footnote w:id="4">
    <w:p>
      <w:pPr>
        <w:spacing w:after="0" w:line="240" w:lineRule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</w:rPr>
        <w:footnoteRef/>
      </w:r>
      <w:r>
        <w:rPr>
          <w:rFonts w:hint="default" w:ascii="Times New Roman" w:hAnsi="Times New Roman" w:cs="Times New Roman"/>
          <w:sz w:val="20"/>
          <w:szCs w:val="20"/>
        </w:rPr>
        <w:t xml:space="preserve"> https://base.garant.ru/4188851/53f89421bbdaf741eb2d1ecc4ddb4c33/</w:t>
      </w:r>
      <w:r>
        <w:rPr>
          <w:rFonts w:hint="default" w:ascii="Times New Roman" w:hAnsi="Times New Roman" w:cs="Times New Roman"/>
          <w:sz w:val="20"/>
          <w:szCs w:val="20"/>
        </w:rPr>
      </w:r>
      <w:r>
        <w:rPr>
          <w:rFonts w:hint="default" w:ascii="Times New Roman" w:hAnsi="Times New Roman" w:cs="Times New Roman"/>
          <w:sz w:val="20"/>
          <w:szCs w:val="20"/>
        </w:rPr>
      </w:r>
    </w:p>
  </w:footnote>
  <w:footnote w:id="5">
    <w:p>
      <w:pPr>
        <w:spacing w:after="0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</w:rPr>
        <w:footnoteRef/>
      </w:r>
      <w:r>
        <w:rPr>
          <w:rFonts w:hint="default" w:ascii="Times New Roman" w:hAnsi="Times New Roman" w:eastAsia="Times New Roman" w:cs="Times New Roman"/>
          <w:sz w:val="20"/>
          <w:szCs w:val="20"/>
        </w:rPr>
        <w:t xml:space="preserve"> https://www.norao.ru/upload/sguk/regulations/46-НРБ-99-2009.pdf</w:t>
      </w:r>
      <w:r>
        <w:rPr>
          <w:rFonts w:hint="default" w:ascii="Times New Roman" w:hAnsi="Times New Roman" w:eastAsia="Times New Roman" w:cs="Times New Roman"/>
          <w:sz w:val="20"/>
          <w:szCs w:val="20"/>
        </w:rPr>
      </w:r>
      <w:r>
        <w:rPr>
          <w:rFonts w:hint="default" w:ascii="Times New Roman" w:hAnsi="Times New Roman" w:eastAsia="Times New Roman" w:cs="Times New Roman"/>
          <w:sz w:val="20"/>
          <w:szCs w:val="20"/>
        </w:rPr>
      </w:r>
    </w:p>
  </w:footnote>
  <w:footnote w:id="6">
    <w:p>
      <w:pPr>
        <w:spacing w:after="0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</w:rPr>
        <w:footnoteRef/>
      </w:r>
      <w:r>
        <w:rPr>
          <w:rFonts w:hint="default" w:ascii="Times New Roman" w:hAnsi="Times New Roman" w:eastAsia="Times New Roman" w:cs="Times New Roman"/>
          <w:sz w:val="20"/>
          <w:szCs w:val="20"/>
        </w:rPr>
        <w:t xml:space="preserve"> https://elib.biblioatom.ru/text/abalkina_chernobylskaya-radiatsiya_2006/p10</w:t>
      </w:r>
      <w:r>
        <w:rPr>
          <w:rFonts w:hint="default" w:ascii="Times New Roman" w:hAnsi="Times New Roman" w:eastAsia="Times New Roman" w:cs="Times New Roman"/>
          <w:sz w:val="20"/>
          <w:szCs w:val="20"/>
        </w:rPr>
      </w:r>
      <w:r>
        <w:rPr>
          <w:rFonts w:hint="default" w:ascii="Times New Roman" w:hAnsi="Times New Roman" w:eastAsia="Times New Roman" w:cs="Times New Roman"/>
          <w:sz w:val="20"/>
          <w:szCs w:val="20"/>
        </w:rPr>
      </w:r>
    </w:p>
  </w:footnote>
  <w:footnote w:id="7">
    <w:p>
      <w:pPr>
        <w:spacing w:after="0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</w:rPr>
        <w:footnoteRef/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eastAsia="Times New Roman" w:cs="Times New Roman"/>
          <w:sz w:val="20"/>
          <w:szCs w:val="20"/>
        </w:rPr>
        <w:t xml:space="preserve">https://elib.biblioatom.ru/text/abalkina_chernobylskaya-radiatsiya_2006/?ysclid=mnoaimc6hn8634900</w:t>
      </w:r>
      <w:r>
        <w:rPr>
          <w:rFonts w:hint="default" w:ascii="Times New Roman" w:hAnsi="Times New Roman" w:eastAsia="Times New Roman" w:cs="Times New Roman"/>
          <w:sz w:val="20"/>
          <w:szCs w:val="20"/>
        </w:rPr>
      </w:r>
      <w:r>
        <w:rPr>
          <w:rFonts w:hint="default" w:ascii="Times New Roman" w:hAnsi="Times New Roman" w:eastAsia="Times New Roman" w:cs="Times New Roman"/>
          <w:sz w:val="20"/>
          <w:szCs w:val="20"/>
        </w:rPr>
      </w:r>
    </w:p>
  </w:footnote>
  <w:footnote w:id="8">
    <w:p>
      <w:pPr>
        <w:spacing w:after="0" w:line="240" w:lineRule="auto"/>
        <w:rPr>
          <w:rFonts w:hint="default" w:ascii="Times New Roman" w:hAnsi="Times New Roman" w:eastAsia="Times New Roman" w:cs="Times New Roman"/>
          <w:sz w:val="20"/>
          <w:szCs w:val="20"/>
          <w:highlight w:val="white"/>
        </w:rPr>
      </w:pPr>
      <w:r>
        <w:rPr>
          <w:rFonts w:hint="default" w:ascii="Times New Roman" w:hAnsi="Times New Roman" w:cs="Times New Roman"/>
          <w:sz w:val="20"/>
          <w:szCs w:val="20"/>
          <w:highlight w:val="white"/>
          <w:vertAlign w:val="superscript"/>
        </w:rPr>
        <w:footnoteRef/>
      </w:r>
      <w:r>
        <w:rPr>
          <w:rFonts w:hint="default" w:ascii="Times New Roman" w:hAnsi="Times New Roman" w:eastAsia="Times New Roman" w:cs="Times New Roman"/>
          <w:sz w:val="20"/>
          <w:szCs w:val="20"/>
          <w:highlight w:val="white"/>
        </w:rPr>
        <w:t xml:space="preserve"> http://old.redstar.ru/2002/04/26_04/1_01.html</w:t>
      </w:r>
      <w:r>
        <w:rPr>
          <w:rFonts w:hint="default" w:ascii="Times New Roman" w:hAnsi="Times New Roman" w:eastAsia="Times New Roman" w:cs="Times New Roman"/>
          <w:sz w:val="20"/>
          <w:szCs w:val="20"/>
          <w:highlight w:val="white"/>
        </w:rPr>
      </w:r>
      <w:r>
        <w:rPr>
          <w:rFonts w:hint="default" w:ascii="Times New Roman" w:hAnsi="Times New Roman" w:eastAsia="Times New Roman" w:cs="Times New Roman"/>
          <w:sz w:val="20"/>
          <w:szCs w:val="20"/>
          <w:highlight w:val="white"/>
        </w:rPr>
      </w:r>
    </w:p>
  </w:footnote>
  <w:footnote w:id="9">
    <w:p>
      <w:pPr>
        <w:spacing w:after="0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</w:rPr>
        <w:footnoteRef/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eastAsia="Times New Roman" w:cs="Times New Roman"/>
          <w:sz w:val="20"/>
          <w:szCs w:val="20"/>
        </w:rPr>
        <w:t xml:space="preserve">https://tass.ru/opinions/13036155?ysclid=mnob1lxkx9657289559</w:t>
      </w:r>
      <w:r>
        <w:rPr>
          <w:rFonts w:hint="default" w:ascii="Times New Roman" w:hAnsi="Times New Roman" w:eastAsia="Times New Roman" w:cs="Times New Roman"/>
          <w:sz w:val="20"/>
          <w:szCs w:val="20"/>
        </w:rPr>
      </w:r>
      <w:r>
        <w:rPr>
          <w:rFonts w:hint="default" w:ascii="Times New Roman" w:hAnsi="Times New Roman" w:eastAsia="Times New Roman" w:cs="Times New Roman"/>
          <w:sz w:val="20"/>
          <w:szCs w:val="20"/>
        </w:rPr>
      </w:r>
    </w:p>
  </w:footnote>
  <w:footnote w:id="10">
    <w:p>
      <w:pPr>
        <w:pStyle w:val="931"/>
        <w:rPr>
          <w:rFonts w:hint="default" w:ascii="Times New Roman" w:hAnsi="Times New Roman" w:cs="Times New Roman"/>
          <w:sz w:val="20"/>
          <w:szCs w:val="20"/>
        </w:rPr>
      </w:pPr>
      <w:r>
        <w:rPr>
          <w:rStyle w:val="924"/>
          <w:rFonts w:hint="default" w:ascii="Times New Roman" w:hAnsi="Times New Roman" w:cs="Times New Roman"/>
          <w:sz w:val="20"/>
          <w:szCs w:val="20"/>
        </w:rPr>
        <w:footnoteRef/>
      </w:r>
      <w:r>
        <w:rPr>
          <w:rFonts w:hint="default" w:ascii="Times New Roman" w:hAnsi="Times New Roman" w:cs="Times New Roman"/>
          <w:sz w:val="20"/>
          <w:szCs w:val="20"/>
        </w:rPr>
        <w:t xml:space="preserve"> https://www.kommersant.ru/projects/chernobyl?ysclid=mnocyj7rcd184756488</w:t>
      </w:r>
      <w:r>
        <w:rPr>
          <w:rFonts w:hint="default" w:ascii="Times New Roman" w:hAnsi="Times New Roman" w:cs="Times New Roman"/>
          <w:sz w:val="20"/>
          <w:szCs w:val="20"/>
        </w:rPr>
      </w:r>
      <w:r>
        <w:rPr>
          <w:rFonts w:hint="default" w:ascii="Times New Roman" w:hAnsi="Times New Roman" w:cs="Times New Roman"/>
          <w:sz w:val="20"/>
          <w:szCs w:val="20"/>
        </w:rPr>
      </w:r>
    </w:p>
  </w:footnote>
  <w:footnote w:id="11">
    <w:p>
      <w:pPr>
        <w:spacing w:after="0" w:line="240" w:lineRule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</w:rPr>
        <w:footnoteRef/>
      </w:r>
      <w:r>
        <w:rPr>
          <w:rFonts w:hint="default" w:ascii="Times New Roman" w:hAnsi="Times New Roman" w:cs="Times New Roman"/>
          <w:sz w:val="20"/>
          <w:szCs w:val="20"/>
        </w:rPr>
        <w:t xml:space="preserve"> https://strana-rosatom.ru/2021/12/03/kak-sooruzhali-sarkofag-nad-avarijnym/</w:t>
      </w:r>
      <w:r>
        <w:rPr>
          <w:rFonts w:hint="default" w:ascii="Times New Roman" w:hAnsi="Times New Roman" w:cs="Times New Roman"/>
          <w:sz w:val="20"/>
          <w:szCs w:val="20"/>
        </w:rPr>
      </w:r>
      <w:r>
        <w:rPr>
          <w:rFonts w:hint="default" w:ascii="Times New Roman" w:hAnsi="Times New Roman" w:cs="Times New Roman"/>
          <w:sz w:val="20"/>
          <w:szCs w:val="20"/>
        </w:rPr>
      </w:r>
    </w:p>
  </w:footnote>
  <w:footnote w:id="12">
    <w:p>
      <w:pPr>
        <w:pStyle w:val="931"/>
        <w:rPr>
          <w:rFonts w:hint="default" w:ascii="Times New Roman" w:hAnsi="Times New Roman" w:cs="Times New Roman"/>
          <w:sz w:val="20"/>
          <w:szCs w:val="20"/>
        </w:rPr>
      </w:pPr>
      <w:r>
        <w:rPr>
          <w:rStyle w:val="924"/>
          <w:rFonts w:hint="default" w:ascii="Times New Roman" w:hAnsi="Times New Roman" w:cs="Times New Roman"/>
          <w:sz w:val="20"/>
          <w:szCs w:val="20"/>
        </w:rPr>
        <w:footnoteRef/>
      </w:r>
      <w:r>
        <w:rPr>
          <w:rFonts w:hint="default" w:ascii="Times New Roman" w:hAnsi="Times New Roman" w:cs="Times New Roman"/>
          <w:sz w:val="20"/>
          <w:szCs w:val="20"/>
        </w:rPr>
        <w:t xml:space="preserve"> https://elib.biblioatom.ru/text/kozlova_shvatka-s-neizvestnostyu_2021/p273/</w:t>
      </w:r>
      <w:r>
        <w:rPr>
          <w:rFonts w:hint="default" w:ascii="Times New Roman" w:hAnsi="Times New Roman" w:cs="Times New Roman"/>
          <w:sz w:val="20"/>
          <w:szCs w:val="20"/>
        </w:rPr>
      </w:r>
      <w:r>
        <w:rPr>
          <w:rFonts w:hint="default" w:ascii="Times New Roman" w:hAnsi="Times New Roman" w:cs="Times New Roman"/>
          <w:sz w:val="20"/>
          <w:szCs w:val="20"/>
        </w:rPr>
      </w:r>
    </w:p>
  </w:footnote>
  <w:footnote w:id="13">
    <w:p>
      <w:pPr>
        <w:pStyle w:val="931"/>
        <w:rPr>
          <w:rFonts w:hint="default" w:ascii="Times New Roman" w:hAnsi="Times New Roman" w:cs="Times New Roman"/>
          <w:sz w:val="20"/>
          <w:szCs w:val="20"/>
        </w:rPr>
      </w:pPr>
      <w:r>
        <w:rPr>
          <w:rStyle w:val="924"/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  <w:sz w:val="20"/>
          <w:szCs w:val="20"/>
        </w:rPr>
        <w:t xml:space="preserve"> https://elib.biblioatom.ru/text/opyt-likvidatsii-radiatsionnyh-avariy_2012/p115/</w:t>
      </w:r>
      <w:r>
        <w:rPr>
          <w:rFonts w:hint="default" w:ascii="Times New Roman" w:hAnsi="Times New Roman" w:cs="Times New Roman"/>
          <w:sz w:val="20"/>
          <w:szCs w:val="20"/>
        </w:rPr>
      </w:r>
      <w:r>
        <w:rPr>
          <w:rFonts w:hint="default" w:ascii="Times New Roman" w:hAnsi="Times New Roman" w:cs="Times New Roman"/>
          <w:sz w:val="20"/>
          <w:szCs w:val="20"/>
        </w:rPr>
      </w:r>
    </w:p>
  </w:footnote>
  <w:footnote w:id="14">
    <w:p>
      <w:pPr>
        <w:spacing w:after="0" w:line="240" w:lineRule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</w:rPr>
        <w:footnoteRef/>
      </w:r>
      <w:r>
        <w:rPr>
          <w:rFonts w:hint="default" w:ascii="Times New Roman" w:hAnsi="Times New Roman" w:cs="Times New Roman"/>
          <w:sz w:val="20"/>
          <w:szCs w:val="20"/>
        </w:rPr>
        <w:t xml:space="preserve"> https://45.ru/text/gorod/2021/11/30/70285277/</w:t>
      </w:r>
      <w:r>
        <w:rPr>
          <w:rFonts w:hint="default" w:ascii="Times New Roman" w:hAnsi="Times New Roman" w:cs="Times New Roman"/>
          <w:sz w:val="20"/>
          <w:szCs w:val="20"/>
        </w:rPr>
      </w:r>
      <w:r>
        <w:rPr>
          <w:rFonts w:hint="default" w:ascii="Times New Roman" w:hAnsi="Times New Roman" w:cs="Times New Roman"/>
          <w:sz w:val="20"/>
          <w:szCs w:val="20"/>
        </w:rPr>
      </w:r>
    </w:p>
  </w:footnote>
  <w:footnote w:id="15">
    <w:p>
      <w:pPr>
        <w:spacing w:after="0" w:line="240" w:lineRule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vertAlign w:val="superscript"/>
        </w:rPr>
        <w:footnoteRef/>
      </w:r>
      <w:r>
        <w:rPr>
          <w:rFonts w:hint="default" w:ascii="Times New Roman" w:hAnsi="Times New Roman" w:cs="Times New Roman"/>
          <w:sz w:val="20"/>
          <w:szCs w:val="20"/>
        </w:rPr>
        <w:t xml:space="preserve"> https://strana-rosatom.ru/2021/12/03/kak-sooruzhali-sarkofag-nad-avarijnym/</w:t>
      </w:r>
      <w:r>
        <w:rPr>
          <w:rFonts w:hint="default" w:ascii="Times New Roman" w:hAnsi="Times New Roman" w:cs="Times New Roman"/>
          <w:sz w:val="20"/>
          <w:szCs w:val="20"/>
        </w:rPr>
      </w:r>
      <w:r>
        <w:rPr>
          <w:rFonts w:hint="default" w:ascii="Times New Roman" w:hAnsi="Times New Roman" w:cs="Times New Roman"/>
          <w:sz w:val="20"/>
          <w:szCs w:val="20"/>
        </w:rPr>
      </w:r>
    </w:p>
  </w:footnote>
  <w:footnote w:id="16">
    <w:p>
      <w:pPr>
        <w:spacing w:after="0" w:line="240" w:lineRule="auto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vertAlign w:val="superscript"/>
        </w:rPr>
        <w:footnoteRef/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"https://elib.biblioatom.ru/text/kozlova_shvatka-s-neizvestnostyu_2021/p358/?hl=3%20%D1%87%D0%B0%D1%81%D0%B0" \h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https://elib.biblioatom.ru/text/kozlova_shvatka-s-neizvestnostyu_2021/p358/?hl=3%20часа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r>
    </w:p>
  </w:footnote>
  <w:footnote w:id="17">
    <w:p>
      <w:pPr>
        <w:spacing w:after="0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vertAlign w:val="superscript"/>
        </w:rPr>
        <w:footnoteRef/>
      </w:r>
      <w:r>
        <w:rPr>
          <w:rFonts w:hint="default" w:ascii="Times New Roman" w:hAnsi="Times New Roman" w:eastAsia="Times New Roman" w:cs="Times New Roman"/>
          <w:sz w:val="20"/>
          <w:szCs w:val="20"/>
        </w:rPr>
        <w:t xml:space="preserve"> https://www.rosatom.ru/production/generation/index.php?sphrase_id=7588301</w:t>
      </w:r>
      <w:r>
        <w:rPr>
          <w:rFonts w:hint="default" w:ascii="Times New Roman" w:hAnsi="Times New Roman" w:eastAsia="Times New Roman" w:cs="Times New Roman"/>
          <w:sz w:val="20"/>
          <w:szCs w:val="20"/>
        </w:rPr>
      </w:r>
      <w:r>
        <w:rPr>
          <w:rFonts w:hint="default" w:ascii="Times New Roman" w:hAnsi="Times New Roman" w:eastAsia="Times New Roman" w:cs="Times New Roman"/>
          <w:sz w:val="20"/>
          <w:szCs w:val="20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76" w:lineRule="auto"/>
    </w:pPr>
    <w:r>
      <w:rPr>
        <w:rFonts w:ascii="Arial" w:hAnsi="Arial" w:eastAsia="Arial" w:cs="Aria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8935" cy="384810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5pt;height:30.30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95">
    <w:name w:val="Heading 1 Char"/>
    <w:basedOn w:val="922"/>
    <w:link w:val="913"/>
    <w:uiPriority w:val="9"/>
    <w:rPr>
      <w:rFonts w:ascii="Arial" w:hAnsi="Arial" w:eastAsia="Arial" w:cs="Arial"/>
      <w:sz w:val="40"/>
      <w:szCs w:val="40"/>
    </w:rPr>
  </w:style>
  <w:style w:type="character" w:styleId="896">
    <w:name w:val="Heading 2 Char"/>
    <w:basedOn w:val="922"/>
    <w:link w:val="914"/>
    <w:uiPriority w:val="9"/>
    <w:rPr>
      <w:rFonts w:ascii="Arial" w:hAnsi="Arial" w:eastAsia="Arial" w:cs="Arial"/>
      <w:sz w:val="34"/>
    </w:rPr>
  </w:style>
  <w:style w:type="character" w:styleId="897">
    <w:name w:val="Heading 3 Char"/>
    <w:basedOn w:val="922"/>
    <w:link w:val="915"/>
    <w:uiPriority w:val="9"/>
    <w:rPr>
      <w:rFonts w:ascii="Arial" w:hAnsi="Arial" w:eastAsia="Arial" w:cs="Arial"/>
      <w:sz w:val="30"/>
      <w:szCs w:val="30"/>
    </w:rPr>
  </w:style>
  <w:style w:type="character" w:styleId="898">
    <w:name w:val="Heading 4 Char"/>
    <w:basedOn w:val="922"/>
    <w:link w:val="916"/>
    <w:uiPriority w:val="9"/>
    <w:rPr>
      <w:rFonts w:ascii="Arial" w:hAnsi="Arial" w:eastAsia="Arial" w:cs="Arial"/>
      <w:b/>
      <w:bCs/>
      <w:sz w:val="26"/>
      <w:szCs w:val="26"/>
    </w:rPr>
  </w:style>
  <w:style w:type="character" w:styleId="899">
    <w:name w:val="Heading 5 Char"/>
    <w:basedOn w:val="922"/>
    <w:link w:val="917"/>
    <w:uiPriority w:val="9"/>
    <w:rPr>
      <w:rFonts w:ascii="Arial" w:hAnsi="Arial" w:eastAsia="Arial" w:cs="Arial"/>
      <w:b/>
      <w:bCs/>
      <w:sz w:val="24"/>
      <w:szCs w:val="24"/>
    </w:rPr>
  </w:style>
  <w:style w:type="character" w:styleId="900">
    <w:name w:val="Heading 6 Char"/>
    <w:basedOn w:val="922"/>
    <w:link w:val="918"/>
    <w:uiPriority w:val="9"/>
    <w:rPr>
      <w:rFonts w:ascii="Arial" w:hAnsi="Arial" w:eastAsia="Arial" w:cs="Arial"/>
      <w:b/>
      <w:bCs/>
      <w:sz w:val="22"/>
      <w:szCs w:val="22"/>
    </w:rPr>
  </w:style>
  <w:style w:type="character" w:styleId="901">
    <w:name w:val="Heading 7 Char"/>
    <w:basedOn w:val="922"/>
    <w:link w:val="9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02">
    <w:name w:val="Heading 8 Char"/>
    <w:basedOn w:val="922"/>
    <w:link w:val="920"/>
    <w:uiPriority w:val="9"/>
    <w:rPr>
      <w:rFonts w:ascii="Arial" w:hAnsi="Arial" w:eastAsia="Arial" w:cs="Arial"/>
      <w:i/>
      <w:iCs/>
      <w:sz w:val="22"/>
      <w:szCs w:val="22"/>
    </w:rPr>
  </w:style>
  <w:style w:type="character" w:styleId="903">
    <w:name w:val="Heading 9 Char"/>
    <w:basedOn w:val="922"/>
    <w:link w:val="921"/>
    <w:uiPriority w:val="9"/>
    <w:rPr>
      <w:rFonts w:ascii="Arial" w:hAnsi="Arial" w:eastAsia="Arial" w:cs="Arial"/>
      <w:i/>
      <w:iCs/>
      <w:sz w:val="21"/>
      <w:szCs w:val="21"/>
    </w:rPr>
  </w:style>
  <w:style w:type="character" w:styleId="904">
    <w:name w:val="Title Char"/>
    <w:basedOn w:val="922"/>
    <w:link w:val="943"/>
    <w:uiPriority w:val="10"/>
    <w:rPr>
      <w:sz w:val="48"/>
      <w:szCs w:val="48"/>
    </w:rPr>
  </w:style>
  <w:style w:type="character" w:styleId="905">
    <w:name w:val="Subtitle Char"/>
    <w:basedOn w:val="922"/>
    <w:link w:val="946"/>
    <w:uiPriority w:val="11"/>
    <w:rPr>
      <w:sz w:val="24"/>
      <w:szCs w:val="24"/>
    </w:rPr>
  </w:style>
  <w:style w:type="character" w:styleId="906">
    <w:name w:val="Quote Char"/>
    <w:link w:val="961"/>
    <w:uiPriority w:val="29"/>
    <w:rPr>
      <w:i/>
    </w:rPr>
  </w:style>
  <w:style w:type="character" w:styleId="907">
    <w:name w:val="Intense Quote Char"/>
    <w:link w:val="963"/>
    <w:uiPriority w:val="30"/>
    <w:rPr>
      <w:i/>
    </w:rPr>
  </w:style>
  <w:style w:type="character" w:styleId="908">
    <w:name w:val="Header Char"/>
    <w:basedOn w:val="922"/>
    <w:link w:val="933"/>
    <w:uiPriority w:val="99"/>
  </w:style>
  <w:style w:type="character" w:styleId="909">
    <w:name w:val="Caption Char"/>
    <w:basedOn w:val="929"/>
    <w:link w:val="944"/>
    <w:uiPriority w:val="99"/>
  </w:style>
  <w:style w:type="character" w:styleId="910">
    <w:name w:val="Footnote Text Char"/>
    <w:link w:val="931"/>
    <w:uiPriority w:val="99"/>
    <w:rPr>
      <w:sz w:val="18"/>
    </w:rPr>
  </w:style>
  <w:style w:type="character" w:styleId="911">
    <w:name w:val="Endnote Text Char"/>
    <w:link w:val="928"/>
    <w:uiPriority w:val="99"/>
    <w:rPr>
      <w:sz w:val="20"/>
    </w:rPr>
  </w:style>
  <w:style w:type="paragraph" w:styleId="912" w:default="1">
    <w:name w:val="Normal"/>
    <w:uiPriority w:val="0"/>
    <w:qFormat/>
    <w:pPr>
      <w:spacing w:after="160" w:line="259" w:lineRule="auto"/>
    </w:pPr>
    <w:rPr>
      <w:rFonts w:ascii="Calibri" w:hAnsi="Calibri" w:eastAsia="Calibri" w:cs="Calibri"/>
      <w:sz w:val="22"/>
      <w:szCs w:val="22"/>
      <w:lang w:val="ru" w:eastAsia="ru-RU" w:bidi="ar-SA"/>
    </w:rPr>
  </w:style>
  <w:style w:type="paragraph" w:styleId="913">
    <w:name w:val="Heading 1"/>
    <w:basedOn w:val="912"/>
    <w:next w:val="912"/>
    <w:link w:val="948"/>
    <w:uiPriority w:val="0"/>
    <w:qFormat/>
    <w:pPr>
      <w:keepLines/>
      <w:keepNext/>
      <w:spacing w:before="480" w:after="120"/>
      <w:outlineLvl w:val="0"/>
    </w:pPr>
    <w:rPr>
      <w:b/>
      <w:bCs/>
      <w:sz w:val="48"/>
      <w:szCs w:val="48"/>
    </w:rPr>
  </w:style>
  <w:style w:type="paragraph" w:styleId="914">
    <w:name w:val="Heading 2"/>
    <w:basedOn w:val="912"/>
    <w:next w:val="912"/>
    <w:link w:val="949"/>
    <w:uiPriority w:val="0"/>
    <w:qFormat/>
    <w:pPr>
      <w:keepLines/>
      <w:keepNext/>
      <w:spacing w:before="360" w:after="80"/>
      <w:outlineLvl w:val="1"/>
    </w:pPr>
    <w:rPr>
      <w:b/>
      <w:bCs/>
      <w:sz w:val="36"/>
      <w:szCs w:val="36"/>
    </w:rPr>
  </w:style>
  <w:style w:type="paragraph" w:styleId="915">
    <w:name w:val="Heading 3"/>
    <w:basedOn w:val="912"/>
    <w:next w:val="912"/>
    <w:link w:val="950"/>
    <w:uiPriority w:val="0"/>
    <w:qFormat/>
    <w:pPr>
      <w:keepLines/>
      <w:keepNext/>
      <w:spacing w:before="280" w:after="80"/>
      <w:outlineLvl w:val="2"/>
    </w:pPr>
    <w:rPr>
      <w:b/>
      <w:bCs/>
      <w:sz w:val="28"/>
      <w:szCs w:val="28"/>
    </w:rPr>
  </w:style>
  <w:style w:type="paragraph" w:styleId="916">
    <w:name w:val="Heading 4"/>
    <w:basedOn w:val="912"/>
    <w:next w:val="912"/>
    <w:link w:val="951"/>
    <w:uiPriority w:val="0"/>
    <w:qFormat/>
    <w:pPr>
      <w:keepLines/>
      <w:keepNext/>
      <w:spacing w:before="240" w:after="40"/>
      <w:outlineLvl w:val="3"/>
    </w:pPr>
    <w:rPr>
      <w:b/>
      <w:bCs/>
      <w:sz w:val="24"/>
      <w:szCs w:val="24"/>
    </w:rPr>
  </w:style>
  <w:style w:type="paragraph" w:styleId="917">
    <w:name w:val="Heading 5"/>
    <w:basedOn w:val="912"/>
    <w:next w:val="912"/>
    <w:link w:val="952"/>
    <w:uiPriority w:val="0"/>
    <w:qFormat/>
    <w:pPr>
      <w:keepLines/>
      <w:keepNext/>
      <w:spacing w:before="220" w:after="40"/>
      <w:outlineLvl w:val="4"/>
    </w:pPr>
    <w:rPr>
      <w:b/>
      <w:bCs/>
    </w:rPr>
  </w:style>
  <w:style w:type="paragraph" w:styleId="918">
    <w:name w:val="Heading 6"/>
    <w:basedOn w:val="912"/>
    <w:next w:val="912"/>
    <w:link w:val="953"/>
    <w:uiPriority w:val="0"/>
    <w:qFormat/>
    <w:pPr>
      <w:keepLines/>
      <w:keepNext/>
      <w:spacing w:before="200" w:after="40"/>
      <w:outlineLvl w:val="5"/>
    </w:pPr>
    <w:rPr>
      <w:b/>
      <w:bCs/>
      <w:sz w:val="20"/>
      <w:szCs w:val="20"/>
    </w:rPr>
  </w:style>
  <w:style w:type="paragraph" w:styleId="919">
    <w:name w:val="Heading 7"/>
    <w:basedOn w:val="912"/>
    <w:next w:val="912"/>
    <w:link w:val="9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920">
    <w:name w:val="Heading 8"/>
    <w:basedOn w:val="912"/>
    <w:next w:val="912"/>
    <w:link w:val="9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921">
    <w:name w:val="Heading 9"/>
    <w:basedOn w:val="912"/>
    <w:next w:val="912"/>
    <w:link w:val="95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22" w:default="1">
    <w:name w:val="Default Paragraph Font"/>
    <w:uiPriority w:val="1"/>
    <w:semiHidden/>
    <w:unhideWhenUsed/>
    <w:qFormat/>
  </w:style>
  <w:style w:type="table" w:styleId="923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924">
    <w:name w:val="footnote reference"/>
    <w:basedOn w:val="922"/>
    <w:uiPriority w:val="99"/>
    <w:unhideWhenUsed/>
    <w:qFormat/>
    <w:rPr>
      <w:vertAlign w:val="superscript"/>
    </w:rPr>
  </w:style>
  <w:style w:type="character" w:styleId="925">
    <w:name w:val="annotation reference"/>
    <w:basedOn w:val="922"/>
    <w:uiPriority w:val="99"/>
    <w:semiHidden/>
    <w:unhideWhenUsed/>
    <w:qFormat/>
    <w:rPr>
      <w:sz w:val="16"/>
      <w:szCs w:val="16"/>
    </w:rPr>
  </w:style>
  <w:style w:type="character" w:styleId="926">
    <w:name w:val="endnote reference"/>
    <w:basedOn w:val="922"/>
    <w:uiPriority w:val="99"/>
    <w:semiHidden/>
    <w:unhideWhenUsed/>
    <w:qFormat/>
    <w:rPr>
      <w:vertAlign w:val="superscript"/>
    </w:rPr>
  </w:style>
  <w:style w:type="character" w:styleId="927">
    <w:name w:val="Hyperlink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28">
    <w:name w:val="endnote text"/>
    <w:basedOn w:val="912"/>
    <w:link w:val="1094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929">
    <w:name w:val="Caption"/>
    <w:basedOn w:val="912"/>
    <w:next w:val="912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930">
    <w:name w:val="annotation text"/>
    <w:link w:val="1098"/>
    <w:uiPriority w:val="99"/>
    <w:semiHidden/>
    <w:unhideWhenUsed/>
    <w:qFormat/>
    <w:pPr>
      <w:spacing w:after="160"/>
    </w:pPr>
    <w:rPr>
      <w:rFonts w:ascii="Calibri" w:hAnsi="Calibri" w:eastAsia="Calibri" w:cs="Calibri"/>
      <w:lang w:val="ru" w:eastAsia="ru-RU" w:bidi="ar-SA"/>
    </w:rPr>
  </w:style>
  <w:style w:type="paragraph" w:styleId="931">
    <w:name w:val="footnote text"/>
    <w:basedOn w:val="912"/>
    <w:link w:val="1093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932">
    <w:name w:val="toc 8"/>
    <w:basedOn w:val="912"/>
    <w:next w:val="912"/>
    <w:uiPriority w:val="39"/>
    <w:unhideWhenUsed/>
    <w:qFormat/>
    <w:pPr>
      <w:ind w:left="1984"/>
      <w:spacing w:after="57"/>
    </w:pPr>
  </w:style>
  <w:style w:type="paragraph" w:styleId="933">
    <w:name w:val="Header"/>
    <w:basedOn w:val="912"/>
    <w:link w:val="965"/>
    <w:uiPriority w:val="99"/>
    <w:unhideWhenUsed/>
    <w:qFormat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934">
    <w:name w:val="toc 9"/>
    <w:basedOn w:val="912"/>
    <w:next w:val="912"/>
    <w:uiPriority w:val="39"/>
    <w:unhideWhenUsed/>
    <w:qFormat/>
    <w:pPr>
      <w:ind w:left="2268"/>
      <w:spacing w:after="57"/>
    </w:pPr>
  </w:style>
  <w:style w:type="paragraph" w:styleId="935">
    <w:name w:val="toc 7"/>
    <w:basedOn w:val="912"/>
    <w:next w:val="912"/>
    <w:uiPriority w:val="39"/>
    <w:unhideWhenUsed/>
    <w:qFormat/>
    <w:pPr>
      <w:ind w:left="1701"/>
      <w:spacing w:after="57"/>
    </w:pPr>
  </w:style>
  <w:style w:type="paragraph" w:styleId="936">
    <w:name w:val="toc 1"/>
    <w:basedOn w:val="912"/>
    <w:next w:val="912"/>
    <w:uiPriority w:val="39"/>
    <w:unhideWhenUsed/>
    <w:qFormat/>
    <w:pPr>
      <w:spacing w:after="57"/>
    </w:pPr>
  </w:style>
  <w:style w:type="paragraph" w:styleId="937">
    <w:name w:val="toc 6"/>
    <w:basedOn w:val="912"/>
    <w:next w:val="912"/>
    <w:uiPriority w:val="39"/>
    <w:unhideWhenUsed/>
    <w:qFormat/>
    <w:pPr>
      <w:ind w:left="1417"/>
      <w:spacing w:after="57"/>
    </w:pPr>
  </w:style>
  <w:style w:type="paragraph" w:styleId="938">
    <w:name w:val="table of figures"/>
    <w:basedOn w:val="912"/>
    <w:next w:val="912"/>
    <w:uiPriority w:val="99"/>
    <w:unhideWhenUsed/>
    <w:qFormat/>
    <w:pPr>
      <w:spacing w:after="0"/>
    </w:pPr>
  </w:style>
  <w:style w:type="paragraph" w:styleId="939">
    <w:name w:val="toc 3"/>
    <w:basedOn w:val="912"/>
    <w:next w:val="912"/>
    <w:uiPriority w:val="39"/>
    <w:unhideWhenUsed/>
    <w:qFormat/>
    <w:pPr>
      <w:ind w:left="567"/>
      <w:spacing w:after="57"/>
    </w:pPr>
  </w:style>
  <w:style w:type="paragraph" w:styleId="940">
    <w:name w:val="toc 2"/>
    <w:basedOn w:val="912"/>
    <w:next w:val="912"/>
    <w:uiPriority w:val="39"/>
    <w:unhideWhenUsed/>
    <w:qFormat/>
    <w:pPr>
      <w:ind w:left="283"/>
      <w:spacing w:after="57"/>
    </w:pPr>
  </w:style>
  <w:style w:type="paragraph" w:styleId="941">
    <w:name w:val="toc 4"/>
    <w:basedOn w:val="912"/>
    <w:next w:val="912"/>
    <w:uiPriority w:val="39"/>
    <w:unhideWhenUsed/>
    <w:qFormat/>
    <w:pPr>
      <w:ind w:left="850"/>
      <w:spacing w:after="57"/>
    </w:pPr>
  </w:style>
  <w:style w:type="paragraph" w:styleId="942">
    <w:name w:val="toc 5"/>
    <w:basedOn w:val="912"/>
    <w:next w:val="912"/>
    <w:uiPriority w:val="39"/>
    <w:unhideWhenUsed/>
    <w:qFormat/>
    <w:pPr>
      <w:ind w:left="1134"/>
      <w:spacing w:after="57"/>
    </w:pPr>
  </w:style>
  <w:style w:type="paragraph" w:styleId="943">
    <w:name w:val="Title"/>
    <w:basedOn w:val="912"/>
    <w:next w:val="912"/>
    <w:link w:val="959"/>
    <w:uiPriority w:val="0"/>
    <w:qFormat/>
    <w:pPr>
      <w:keepLines/>
      <w:keepNext/>
      <w:spacing w:before="480" w:after="120"/>
    </w:pPr>
    <w:rPr>
      <w:b/>
      <w:bCs/>
      <w:sz w:val="72"/>
      <w:szCs w:val="72"/>
    </w:rPr>
  </w:style>
  <w:style w:type="paragraph" w:styleId="944">
    <w:name w:val="Footer"/>
    <w:basedOn w:val="912"/>
    <w:link w:val="967"/>
    <w:uiPriority w:val="99"/>
    <w:unhideWhenUsed/>
    <w:qFormat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945">
    <w:name w:val="Normal (Web)"/>
    <w:basedOn w:val="912"/>
    <w:uiPriority w:val="0"/>
    <w:qFormat/>
    <w:rPr>
      <w:sz w:val="24"/>
      <w:szCs w:val="24"/>
    </w:rPr>
  </w:style>
  <w:style w:type="paragraph" w:styleId="946">
    <w:name w:val="Subtitle"/>
    <w:basedOn w:val="912"/>
    <w:next w:val="912"/>
    <w:link w:val="960"/>
    <w:uiPriority w:val="0"/>
    <w:qFormat/>
    <w:pPr>
      <w:keepLines/>
      <w:keepNext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947">
    <w:name w:val="Table Grid"/>
    <w:basedOn w:val="923"/>
    <w:uiPriority w:val="5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48" w:customStyle="1">
    <w:name w:val="Заголовок 1 Знак"/>
    <w:basedOn w:val="922"/>
    <w:link w:val="913"/>
    <w:uiPriority w:val="9"/>
    <w:qFormat/>
    <w:rPr>
      <w:rFonts w:ascii="Arial" w:hAnsi="Arial" w:eastAsia="Arial" w:cs="Arial"/>
      <w:sz w:val="40"/>
      <w:szCs w:val="40"/>
    </w:rPr>
  </w:style>
  <w:style w:type="character" w:styleId="949" w:customStyle="1">
    <w:name w:val="Заголовок 2 Знак"/>
    <w:basedOn w:val="922"/>
    <w:link w:val="914"/>
    <w:uiPriority w:val="9"/>
    <w:qFormat/>
    <w:rPr>
      <w:rFonts w:ascii="Arial" w:hAnsi="Arial" w:eastAsia="Arial" w:cs="Arial"/>
      <w:sz w:val="34"/>
    </w:rPr>
  </w:style>
  <w:style w:type="character" w:styleId="950" w:customStyle="1">
    <w:name w:val="Заголовок 3 Знак"/>
    <w:basedOn w:val="922"/>
    <w:link w:val="915"/>
    <w:uiPriority w:val="9"/>
    <w:qFormat/>
    <w:rPr>
      <w:rFonts w:ascii="Arial" w:hAnsi="Arial" w:eastAsia="Arial" w:cs="Arial"/>
      <w:sz w:val="30"/>
      <w:szCs w:val="30"/>
    </w:rPr>
  </w:style>
  <w:style w:type="character" w:styleId="951" w:customStyle="1">
    <w:name w:val="Заголовок 4 Знак"/>
    <w:basedOn w:val="922"/>
    <w:link w:val="916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952" w:customStyle="1">
    <w:name w:val="Заголовок 5 Знак"/>
    <w:basedOn w:val="922"/>
    <w:link w:val="917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953" w:customStyle="1">
    <w:name w:val="Заголовок 6 Знак"/>
    <w:basedOn w:val="922"/>
    <w:link w:val="918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954" w:customStyle="1">
    <w:name w:val="Заголовок 7 Знак"/>
    <w:basedOn w:val="922"/>
    <w:link w:val="919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955" w:customStyle="1">
    <w:name w:val="Заголовок 8 Знак"/>
    <w:basedOn w:val="922"/>
    <w:link w:val="920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56" w:customStyle="1">
    <w:name w:val="Заголовок 9 Знак"/>
    <w:basedOn w:val="922"/>
    <w:link w:val="921"/>
    <w:uiPriority w:val="9"/>
    <w:qFormat/>
    <w:rPr>
      <w:rFonts w:ascii="Arial" w:hAnsi="Arial" w:eastAsia="Arial" w:cs="Arial"/>
      <w:i/>
      <w:iCs/>
      <w:sz w:val="21"/>
      <w:szCs w:val="21"/>
    </w:rPr>
  </w:style>
  <w:style w:type="paragraph" w:styleId="957">
    <w:name w:val="List Paragraph"/>
    <w:basedOn w:val="912"/>
    <w:uiPriority w:val="34"/>
    <w:qFormat/>
    <w:pPr>
      <w:contextualSpacing/>
      <w:ind w:left="720"/>
    </w:pPr>
  </w:style>
  <w:style w:type="paragraph" w:styleId="958">
    <w:name w:val="No Spacing"/>
    <w:uiPriority w:val="1"/>
    <w:qFormat/>
    <w:rPr>
      <w:rFonts w:ascii="Calibri" w:hAnsi="Calibri" w:eastAsia="Calibri" w:cs="Calibri"/>
      <w:lang w:val="ru-RU" w:eastAsia="ru-RU" w:bidi="ar-SA"/>
    </w:rPr>
  </w:style>
  <w:style w:type="character" w:styleId="959" w:customStyle="1">
    <w:name w:val="Заголовок Знак"/>
    <w:basedOn w:val="922"/>
    <w:link w:val="943"/>
    <w:uiPriority w:val="10"/>
    <w:qFormat/>
    <w:rPr>
      <w:sz w:val="48"/>
      <w:szCs w:val="48"/>
    </w:rPr>
  </w:style>
  <w:style w:type="character" w:styleId="960" w:customStyle="1">
    <w:name w:val="Подзаголовок Знак"/>
    <w:basedOn w:val="922"/>
    <w:link w:val="946"/>
    <w:uiPriority w:val="11"/>
    <w:qFormat/>
    <w:rPr>
      <w:sz w:val="24"/>
      <w:szCs w:val="24"/>
    </w:rPr>
  </w:style>
  <w:style w:type="paragraph" w:styleId="961">
    <w:name w:val="Quote"/>
    <w:basedOn w:val="912"/>
    <w:next w:val="912"/>
    <w:link w:val="962"/>
    <w:uiPriority w:val="29"/>
    <w:qFormat/>
    <w:pPr>
      <w:ind w:left="720" w:right="720"/>
    </w:pPr>
    <w:rPr>
      <w:i/>
    </w:rPr>
  </w:style>
  <w:style w:type="character" w:styleId="962" w:customStyle="1">
    <w:name w:val="Цитата 2 Знак"/>
    <w:link w:val="961"/>
    <w:uiPriority w:val="29"/>
    <w:qFormat/>
    <w:rPr>
      <w:i/>
    </w:rPr>
  </w:style>
  <w:style w:type="paragraph" w:styleId="963">
    <w:name w:val="Intense Quote"/>
    <w:basedOn w:val="912"/>
    <w:next w:val="912"/>
    <w:link w:val="96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64" w:customStyle="1">
    <w:name w:val="Выделенная цитата Знак"/>
    <w:link w:val="963"/>
    <w:uiPriority w:val="30"/>
    <w:qFormat/>
    <w:rPr>
      <w:i/>
    </w:rPr>
  </w:style>
  <w:style w:type="character" w:styleId="965" w:customStyle="1">
    <w:name w:val="Верхний колонтитул Знак"/>
    <w:basedOn w:val="922"/>
    <w:link w:val="933"/>
    <w:uiPriority w:val="99"/>
    <w:qFormat/>
  </w:style>
  <w:style w:type="character" w:styleId="966" w:customStyle="1">
    <w:name w:val="Footer Char"/>
    <w:basedOn w:val="922"/>
    <w:uiPriority w:val="99"/>
    <w:qFormat/>
  </w:style>
  <w:style w:type="character" w:styleId="967" w:customStyle="1">
    <w:name w:val="Нижний колонтитул Знак"/>
    <w:link w:val="944"/>
    <w:uiPriority w:val="99"/>
    <w:qFormat/>
  </w:style>
  <w:style w:type="table" w:styleId="968" w:customStyle="1">
    <w:name w:val="Table Grid Light"/>
    <w:basedOn w:val="923"/>
    <w:uiPriority w:val="59"/>
    <w:qFormat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styleId="969" w:customStyle="1">
    <w:name w:val="Plain Table 1"/>
    <w:basedOn w:val="923"/>
    <w:uiPriority w:val="59"/>
    <w:qFormat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band1Horz"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70" w:customStyle="1">
    <w:name w:val="Plain Table 2"/>
    <w:basedOn w:val="923"/>
    <w:uiPriority w:val="59"/>
    <w:qFormat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71" w:customStyle="1">
    <w:name w:val="Plain Table 3"/>
    <w:basedOn w:val="923"/>
    <w:uiPriority w:val="99"/>
    <w:qFormat/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72" w:customStyle="1">
    <w:name w:val="Plain Table 4"/>
    <w:basedOn w:val="923"/>
    <w:uiPriority w:val="99"/>
    <w:qFormat/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3" w:customStyle="1">
    <w:name w:val="Plain Table 5"/>
    <w:basedOn w:val="923"/>
    <w:uiPriority w:val="99"/>
    <w:qFormat/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74" w:customStyle="1">
    <w:name w:val="Grid Table 1 Light"/>
    <w:basedOn w:val="923"/>
    <w:uiPriority w:val="99"/>
    <w:qFormat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5" w:customStyle="1">
    <w:name w:val="Grid Table 1 Light - Accent 1"/>
    <w:basedOn w:val="923"/>
    <w:uiPriority w:val="99"/>
    <w:qFormat/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6" w:customStyle="1">
    <w:name w:val="Grid Table 1 Light - Accent 2"/>
    <w:basedOn w:val="923"/>
    <w:uiPriority w:val="99"/>
    <w:qFormat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7" w:customStyle="1">
    <w:name w:val="Grid Table 1 Light - Accent 3"/>
    <w:basedOn w:val="923"/>
    <w:uiPriority w:val="99"/>
    <w:qFormat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8" w:customStyle="1">
    <w:name w:val="Grid Table 1 Light - Accent 4"/>
    <w:basedOn w:val="923"/>
    <w:uiPriority w:val="99"/>
    <w:qFormat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9" w:customStyle="1">
    <w:name w:val="Grid Table 1 Light - Accent 5"/>
    <w:basedOn w:val="923"/>
    <w:uiPriority w:val="99"/>
    <w:qFormat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F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0" w:customStyle="1">
    <w:name w:val="Grid Table 1 Light - Accent 6"/>
    <w:basedOn w:val="923"/>
    <w:uiPriority w:val="99"/>
    <w:qFormat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1" w:customStyle="1">
    <w:name w:val="Grid Table 2"/>
    <w:basedOn w:val="923"/>
    <w:uiPriority w:val="99"/>
    <w:qFormat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2" w:customStyle="1">
    <w:name w:val="Grid Table 2 - Accent 1"/>
    <w:basedOn w:val="923"/>
    <w:uiPriority w:val="99"/>
    <w:qFormat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3" w:customStyle="1">
    <w:name w:val="Grid Table 2 - Accent 2"/>
    <w:basedOn w:val="923"/>
    <w:uiPriority w:val="99"/>
    <w:qFormat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2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 w:customStyle="1">
    <w:name w:val="Grid Table 2 - Accent 3"/>
    <w:basedOn w:val="923"/>
    <w:uiPriority w:val="99"/>
    <w:qFormat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 w:customStyle="1">
    <w:name w:val="Grid Table 2 - Accent 4"/>
    <w:basedOn w:val="923"/>
    <w:uiPriority w:val="99"/>
    <w:qFormat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4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 w:customStyle="1">
    <w:name w:val="Grid Table 2 - Accent 5"/>
    <w:basedOn w:val="923"/>
    <w:uiPriority w:val="99"/>
    <w:qFormat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 w:customStyle="1">
    <w:name w:val="Grid Table 2 - Accent 6"/>
    <w:basedOn w:val="923"/>
    <w:uiPriority w:val="99"/>
    <w:qFormat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 w:customStyle="1">
    <w:name w:val="Grid Table 3"/>
    <w:basedOn w:val="923"/>
    <w:uiPriority w:val="99"/>
    <w:qFormat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 w:customStyle="1">
    <w:name w:val="Grid Table 3 - Accent 1"/>
    <w:basedOn w:val="923"/>
    <w:uiPriority w:val="99"/>
    <w:qFormat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 w:customStyle="1">
    <w:name w:val="Grid Table 3 - Accent 2"/>
    <w:basedOn w:val="923"/>
    <w:uiPriority w:val="99"/>
    <w:qFormat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 w:customStyle="1">
    <w:name w:val="Grid Table 3 - Accent 3"/>
    <w:basedOn w:val="923"/>
    <w:uiPriority w:val="99"/>
    <w:qFormat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2" w:customStyle="1">
    <w:name w:val="Grid Table 3 - Accent 4"/>
    <w:basedOn w:val="923"/>
    <w:uiPriority w:val="99"/>
    <w:qFormat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 w:customStyle="1">
    <w:name w:val="Grid Table 3 - Accent 5"/>
    <w:basedOn w:val="923"/>
    <w:uiPriority w:val="99"/>
    <w:qFormat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 w:customStyle="1">
    <w:name w:val="Grid Table 3 - Accent 6"/>
    <w:basedOn w:val="923"/>
    <w:uiPriority w:val="99"/>
    <w:qFormat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5" w:customStyle="1">
    <w:name w:val="Grid Table 4"/>
    <w:basedOn w:val="923"/>
    <w:uiPriority w:val="59"/>
    <w:qFormat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96" w:customStyle="1">
    <w:name w:val="Grid Table 4 - Accent 1"/>
    <w:basedOn w:val="923"/>
    <w:uiPriority w:val="59"/>
    <w:qFormat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997" w:customStyle="1">
    <w:name w:val="Grid Table 4 - Accent 2"/>
    <w:basedOn w:val="923"/>
    <w:uiPriority w:val="59"/>
    <w:qFormat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</w:style>
  <w:style w:type="table" w:styleId="998" w:customStyle="1">
    <w:name w:val="Grid Table 4 - Accent 3"/>
    <w:basedOn w:val="923"/>
    <w:uiPriority w:val="59"/>
    <w:qFormat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999" w:customStyle="1">
    <w:name w:val="Grid Table 4 - Accent 4"/>
    <w:basedOn w:val="923"/>
    <w:uiPriority w:val="59"/>
    <w:qFormat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</w:style>
  <w:style w:type="table" w:styleId="1000" w:customStyle="1">
    <w:name w:val="Grid Table 4 - Accent 5"/>
    <w:basedOn w:val="923"/>
    <w:uiPriority w:val="59"/>
    <w:qFormat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1001" w:customStyle="1">
    <w:name w:val="Grid Table 4 - Accent 6"/>
    <w:basedOn w:val="923"/>
    <w:uiPriority w:val="59"/>
    <w:qFormat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002" w:customStyle="1">
    <w:name w:val="Grid Table 5 Dark"/>
    <w:basedOn w:val="923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98989" w:themeColor="text1" w:themeTint="75" w:fill="898989" w:themeFill="text1" w:themeFillTint="75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003" w:customStyle="1">
    <w:name w:val="Grid Table 5 Dark- Accent 1"/>
    <w:basedOn w:val="923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3" w:themeColor="accent1" w:themeTint="75" w:fill="a9bee3" w:themeFill="accent1" w:themeFillTint="75"/>
      </w:tcPr>
    </w:tblStylePr>
    <w:tblStylePr w:type="band1Vert">
      <w:tcPr>
        <w:shd w:val="clear" w:color="a9bee3" w:themeColor="accent1" w:themeTint="75" w:fill="a9be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1004" w:customStyle="1">
    <w:name w:val="Grid Table 5 Dark - Accent 2"/>
    <w:basedOn w:val="923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1005" w:customStyle="1">
    <w:name w:val="Grid Table 5 Dark - Accent 3"/>
    <w:basedOn w:val="923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1006" w:customStyle="1">
    <w:name w:val="Grid Table 5 Dark- Accent 4"/>
    <w:basedOn w:val="923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ee289" w:themeColor="accent4" w:themeTint="75" w:fill="fee289" w:themeFill="accent4" w:themeFillTint="75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1007" w:customStyle="1">
    <w:name w:val="Grid Table 5 Dark - Accent 5"/>
    <w:basedOn w:val="923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1eb" w:themeColor="accent5" w:themeTint="75" w:fill="b3d1eb" w:themeFill="accent5" w:themeFillTint="75"/>
      </w:tcPr>
    </w:tblStylePr>
    <w:tblStylePr w:type="band1Vert">
      <w:tcPr>
        <w:shd w:val="clear" w:color="b3d1eb" w:themeColor="accent5" w:themeTint="75" w:fill="b3d1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1008" w:customStyle="1">
    <w:name w:val="Grid Table 5 Dark - Accent 6"/>
    <w:basedOn w:val="923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1009" w:customStyle="1">
    <w:name w:val="Grid Table 6 Colorful"/>
    <w:basedOn w:val="923"/>
    <w:uiPriority w:val="99"/>
    <w:qFormat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styleId="1010" w:customStyle="1">
    <w:name w:val="Grid Table 6 Colorful - Accent 1"/>
    <w:basedOn w:val="923"/>
    <w:uiPriority w:val="99"/>
    <w:qFormat/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1B8E1" w:themeColor="accent1" w:themeTint="80" w:sz="12" w:space="0"/>
        </w:tcBorders>
      </w:tcPr>
    </w:tblStylePr>
    <w:tblStylePr w:type="la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styleId="1011" w:customStyle="1">
    <w:name w:val="Grid Table 6 Colorful - Accent 2"/>
    <w:basedOn w:val="923"/>
    <w:uiPriority w:val="99"/>
    <w:qFormat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styleId="1012" w:customStyle="1">
    <w:name w:val="Grid Table 6 Colorful - Accent 3"/>
    <w:basedOn w:val="923"/>
    <w:uiPriority w:val="99"/>
    <w:qFormat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styleId="1013" w:customStyle="1">
    <w:name w:val="Grid Table 6 Colorful - Accent 4"/>
    <w:basedOn w:val="923"/>
    <w:uiPriority w:val="99"/>
    <w:qFormat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styleId="1014" w:customStyle="1">
    <w:name w:val="Grid Table 6 Colorful - Accent 5"/>
    <w:basedOn w:val="923"/>
    <w:uiPriority w:val="99"/>
    <w:qFormat/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  <w:tblStylePr w:type="firstCol">
      <w:rPr>
        <w:b/>
        <w:color w:val="245b8c" w:themeColor="accent5" w:themeShade="94"/>
      </w:rPr>
    </w:tblStylePr>
    <w:tblStylePr w:type="firstRow">
      <w:rPr>
        <w:b/>
        <w:color w:val="245b8c" w:themeColor="accent5" w:themeShade="94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b8c" w:themeColor="accent5" w:themeShade="94"/>
      </w:rPr>
    </w:tblStylePr>
    <w:tblStylePr w:type="lastRow">
      <w:rPr>
        <w:b/>
        <w:color w:val="245b8c" w:themeColor="accent5" w:themeShade="94"/>
      </w:rPr>
    </w:tblStylePr>
  </w:style>
  <w:style w:type="table" w:styleId="1015" w:customStyle="1">
    <w:name w:val="Grid Table 6 Colorful - Accent 6"/>
    <w:basedOn w:val="923"/>
    <w:uiPriority w:val="99"/>
    <w:qFormat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b8c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  <w:tblStylePr w:type="firstCol">
      <w:rPr>
        <w:b/>
        <w:color w:val="245b8c" w:themeColor="accent5" w:themeShade="94"/>
      </w:rPr>
    </w:tblStylePr>
    <w:tblStylePr w:type="firstRow">
      <w:rPr>
        <w:b/>
        <w:color w:val="245b8c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b8c" w:themeColor="accent5" w:themeShade="94"/>
      </w:rPr>
    </w:tblStylePr>
    <w:tblStylePr w:type="lastRow">
      <w:rPr>
        <w:b/>
        <w:color w:val="245b8c" w:themeColor="accent5" w:themeShade="94"/>
      </w:rPr>
    </w:tblStylePr>
  </w:style>
  <w:style w:type="table" w:styleId="1016" w:customStyle="1">
    <w:name w:val="Grid Table 7 Colorful"/>
    <w:basedOn w:val="923"/>
    <w:uiPriority w:val="99"/>
    <w:qFormat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7" w:customStyle="1">
    <w:name w:val="Grid Table 7 Colorful - Accent 1"/>
    <w:basedOn w:val="923"/>
    <w:uiPriority w:val="99"/>
    <w:qFormat/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1B8E1" w:themeColor="accent1" w:themeTint="80" w:sz="4" w:space="0"/>
        </w:tcBorders>
      </w:tcPr>
    </w:tblStylePr>
    <w:tblStylePr w:type="fir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1B8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1B8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1B8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8" w:customStyle="1">
    <w:name w:val="Grid Table 7 Colorful - Accent 2"/>
    <w:basedOn w:val="923"/>
    <w:uiPriority w:val="99"/>
    <w:qFormat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9" w:customStyle="1">
    <w:name w:val="Grid Table 7 Colorful - Accent 3"/>
    <w:basedOn w:val="923"/>
    <w:uiPriority w:val="99"/>
    <w:qFormat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0" w:customStyle="1">
    <w:name w:val="Grid Table 7 Colorful - Accent 4"/>
    <w:basedOn w:val="923"/>
    <w:uiPriority w:val="99"/>
    <w:qFormat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1" w:customStyle="1">
    <w:name w:val="Grid Table 7 Colorful - Accent 5"/>
    <w:basedOn w:val="923"/>
    <w:uiPriority w:val="99"/>
    <w:qFormat/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  <w:tblStylePr w:type="firstCol">
      <w:rPr>
        <w:rFonts w:ascii="Arial" w:hAnsi="Arial"/>
        <w:i/>
        <w:color w:val="245b8c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b8c" w:themeColor="accent5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2" w:customStyle="1">
    <w:name w:val="Grid Table 7 Colorful - Accent 6"/>
    <w:basedOn w:val="923"/>
    <w:uiPriority w:val="99"/>
    <w:qFormat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firstCol">
      <w:rPr>
        <w:rFonts w:ascii="Arial" w:hAnsi="Arial"/>
        <w:i/>
        <w:color w:val="416429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3" w:customStyle="1">
    <w:name w:val="List Table 1 Light"/>
    <w:basedOn w:val="923"/>
    <w:uiPriority w:val="99"/>
    <w:qFormat/>
    <w:tblPr/>
    <w:tblStylePr w:type="band1Horz"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4" w:customStyle="1">
    <w:name w:val="List Table 1 Light - Accent 1"/>
    <w:basedOn w:val="923"/>
    <w:uiPriority w:val="99"/>
    <w:qFormat/>
    <w:tblPr/>
    <w:tblStylePr w:type="band1Horz">
      <w:tcPr>
        <w:shd w:val="clear" w:color="d0dbf0" w:themeColor="accent1" w:themeTint="40" w:fill="d0dbf0" w:themeFill="accent1" w:themeFillTint="40"/>
      </w:tc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5" w:customStyle="1">
    <w:name w:val="List Table 1 Light - Accent 2"/>
    <w:basedOn w:val="923"/>
    <w:uiPriority w:val="99"/>
    <w:qFormat/>
    <w:tblPr/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 w:customStyle="1">
    <w:name w:val="List Table 1 Light - Accent 3"/>
    <w:basedOn w:val="923"/>
    <w:uiPriority w:val="99"/>
    <w:qFormat/>
    <w:tblPr/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 w:customStyle="1">
    <w:name w:val="List Table 1 Light - Accent 4"/>
    <w:basedOn w:val="923"/>
    <w:uiPriority w:val="99"/>
    <w:qFormat/>
    <w:tblPr/>
    <w:tblStylePr w:type="band1Horz"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8" w:customStyle="1">
    <w:name w:val="List Table 1 Light - Accent 5"/>
    <w:basedOn w:val="923"/>
    <w:uiPriority w:val="99"/>
    <w:qFormat/>
    <w:tblPr/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9" w:customStyle="1">
    <w:name w:val="List Table 1 Light - Accent 6"/>
    <w:basedOn w:val="923"/>
    <w:uiPriority w:val="99"/>
    <w:qFormat/>
    <w:tblPr/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0" w:customStyle="1">
    <w:name w:val="List Table 2"/>
    <w:basedOn w:val="923"/>
    <w:uiPriority w:val="99"/>
    <w:qFormat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</w:style>
  <w:style w:type="table" w:styleId="1031" w:customStyle="1">
    <w:name w:val="List Table 2 - Accent 1"/>
    <w:basedOn w:val="923"/>
    <w:uiPriority w:val="99"/>
    <w:qFormat/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1032" w:customStyle="1">
    <w:name w:val="List Table 2 - Accent 2"/>
    <w:basedOn w:val="923"/>
    <w:uiPriority w:val="99"/>
    <w:qFormat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1033" w:customStyle="1">
    <w:name w:val="List Table 2 - Accent 3"/>
    <w:basedOn w:val="923"/>
    <w:uiPriority w:val="99"/>
    <w:qFormat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1034" w:customStyle="1">
    <w:name w:val="List Table 2 - Accent 4"/>
    <w:basedOn w:val="923"/>
    <w:uiPriority w:val="99"/>
    <w:qFormat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</w:style>
  <w:style w:type="table" w:styleId="1035" w:customStyle="1">
    <w:name w:val="List Table 2 - Accent 5"/>
    <w:basedOn w:val="923"/>
    <w:uiPriority w:val="99"/>
    <w:qFormat/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1036" w:customStyle="1">
    <w:name w:val="List Table 2 - Accent 6"/>
    <w:basedOn w:val="923"/>
    <w:uiPriority w:val="99"/>
    <w:qFormat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1037" w:customStyle="1">
    <w:name w:val="List Table 3"/>
    <w:basedOn w:val="923"/>
    <w:uiPriority w:val="99"/>
    <w:qFormat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8" w:customStyle="1">
    <w:name w:val="List Table 3 - Accent 1"/>
    <w:basedOn w:val="923"/>
    <w:uiPriority w:val="99"/>
    <w:qFormat/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9" w:customStyle="1">
    <w:name w:val="List Table 3 - Accent 2"/>
    <w:basedOn w:val="923"/>
    <w:uiPriority w:val="99"/>
    <w:qFormat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0" w:customStyle="1">
    <w:name w:val="List Table 3 - Accent 3"/>
    <w:basedOn w:val="923"/>
    <w:uiPriority w:val="99"/>
    <w:qFormat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1" w:customStyle="1">
    <w:name w:val="List Table 3 - Accent 4"/>
    <w:basedOn w:val="923"/>
    <w:uiPriority w:val="99"/>
    <w:qFormat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2" w:customStyle="1">
    <w:name w:val="List Table 3 - Accent 5"/>
    <w:basedOn w:val="923"/>
    <w:uiPriority w:val="99"/>
    <w:qFormat/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3" w:customStyle="1">
    <w:name w:val="List Table 3 - Accent 6"/>
    <w:basedOn w:val="923"/>
    <w:uiPriority w:val="99"/>
    <w:qFormat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4" w:customStyle="1">
    <w:name w:val="List Table 4"/>
    <w:basedOn w:val="923"/>
    <w:uiPriority w:val="99"/>
    <w:qFormat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5" w:customStyle="1">
    <w:name w:val="List Table 4 - Accent 1"/>
    <w:basedOn w:val="923"/>
    <w:uiPriority w:val="99"/>
    <w:qFormat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6" w:customStyle="1">
    <w:name w:val="List Table 4 - Accent 2"/>
    <w:basedOn w:val="923"/>
    <w:uiPriority w:val="99"/>
    <w:qFormat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7" w:customStyle="1">
    <w:name w:val="List Table 4 - Accent 3"/>
    <w:basedOn w:val="923"/>
    <w:uiPriority w:val="99"/>
    <w:qFormat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8" w:customStyle="1">
    <w:name w:val="List Table 4 - Accent 4"/>
    <w:basedOn w:val="923"/>
    <w:uiPriority w:val="99"/>
    <w:qFormat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9" w:customStyle="1">
    <w:name w:val="List Table 4 - Accent 5"/>
    <w:basedOn w:val="923"/>
    <w:uiPriority w:val="99"/>
    <w:qFormat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0" w:customStyle="1">
    <w:name w:val="List Table 4 - Accent 6"/>
    <w:basedOn w:val="923"/>
    <w:uiPriority w:val="99"/>
    <w:qFormat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1" w:customStyle="1">
    <w:name w:val="List Table 5 Dark"/>
    <w:basedOn w:val="923"/>
    <w:uiPriority w:val="99"/>
    <w:qFormat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band1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1052" w:customStyle="1">
    <w:name w:val="List Table 5 Dark - Accent 1"/>
    <w:basedOn w:val="923"/>
    <w:uiPriority w:val="99"/>
    <w:qFormat/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1053" w:customStyle="1">
    <w:name w:val="List Table 5 Dark - Accent 2"/>
    <w:basedOn w:val="923"/>
    <w:uiPriority w:val="99"/>
    <w:qFormat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band1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285" w:themeColor="accent2" w:themeTint="97" w:fill="f4b2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1054" w:customStyle="1">
    <w:name w:val="List Table 5 Dark - Accent 3"/>
    <w:basedOn w:val="923"/>
    <w:uiPriority w:val="99"/>
    <w:qFormat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1055" w:customStyle="1">
    <w:name w:val="List Table 5 Dark - Accent 4"/>
    <w:basedOn w:val="923"/>
    <w:uiPriority w:val="99"/>
    <w:qFormat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band1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4" w:themeColor="accent4" w:themeTint="9A" w:fill="ffd864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1056" w:customStyle="1">
    <w:name w:val="List Table 5 Dark - Accent 5"/>
    <w:basedOn w:val="923"/>
    <w:uiPriority w:val="99"/>
    <w:qFormat/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1057" w:customStyle="1">
    <w:name w:val="List Table 5 Dark - Accent 6"/>
    <w:basedOn w:val="923"/>
    <w:uiPriority w:val="99"/>
    <w:qFormat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1058" w:customStyle="1">
    <w:name w:val="List Table 6 Colorful"/>
    <w:basedOn w:val="923"/>
    <w:uiPriority w:val="99"/>
    <w:qFormat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</w:style>
  <w:style w:type="table" w:styleId="1059" w:customStyle="1">
    <w:name w:val="List Table 6 Colorful - Accent 1"/>
    <w:basedOn w:val="923"/>
    <w:uiPriority w:val="99"/>
    <w:qFormat/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  <w:tblStylePr w:type="firstCol">
      <w:rPr>
        <w:b/>
        <w:color w:val="254174" w:themeColor="accent1" w:themeShade="94"/>
      </w:rPr>
    </w:tblStylePr>
    <w:tblStylePr w:type="firstRow">
      <w:rPr>
        <w:b/>
        <w:color w:val="254174" w:themeColor="accent1" w:themeShade="94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4" w:themeColor="accent1" w:themeShade="94"/>
      </w:rPr>
    </w:tblStylePr>
    <w:tblStylePr w:type="lastRow">
      <w:rPr>
        <w:b/>
        <w:color w:val="254174" w:themeColor="accent1" w:themeShade="94"/>
      </w:rPr>
      <w:tcPr>
        <w:tcBorders>
          <w:top w:val="single" w:color="4472C4" w:themeColor="accent1" w:sz="4" w:space="0"/>
        </w:tcBorders>
      </w:tcPr>
    </w:tblStylePr>
  </w:style>
  <w:style w:type="table" w:styleId="1060" w:customStyle="1">
    <w:name w:val="List Table 6 Colorful - Accent 2"/>
    <w:basedOn w:val="923"/>
    <w:uiPriority w:val="99"/>
    <w:qFormat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</w:style>
  <w:style w:type="table" w:styleId="1061" w:customStyle="1">
    <w:name w:val="List Table 6 Colorful - Accent 3"/>
    <w:basedOn w:val="923"/>
    <w:uiPriority w:val="99"/>
    <w:qFormat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</w:style>
  <w:style w:type="table" w:styleId="1062" w:customStyle="1">
    <w:name w:val="List Table 6 Colorful - Accent 4"/>
    <w:basedOn w:val="923"/>
    <w:uiPriority w:val="99"/>
    <w:qFormat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</w:style>
  <w:style w:type="table" w:styleId="1063" w:customStyle="1">
    <w:name w:val="List Table 6 Colorful - Accent 5"/>
    <w:basedOn w:val="923"/>
    <w:uiPriority w:val="99"/>
    <w:qFormat/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</w:tcBorders>
      </w:tcPr>
    </w:tblStylePr>
  </w:style>
  <w:style w:type="table" w:styleId="1064" w:customStyle="1">
    <w:name w:val="List Table 6 Colorful - Accent 6"/>
    <w:basedOn w:val="923"/>
    <w:uiPriority w:val="99"/>
    <w:qFormat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</w:style>
  <w:style w:type="table" w:styleId="1065" w:customStyle="1">
    <w:name w:val="List Table 7 Colorful"/>
    <w:basedOn w:val="923"/>
    <w:uiPriority w:val="99"/>
    <w:qFormat/>
    <w:tblPr>
      <w:tblBorders>
        <w:right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6" w:customStyle="1">
    <w:name w:val="List Table 7 Colorful - Accent 1"/>
    <w:basedOn w:val="923"/>
    <w:uiPriority w:val="99"/>
    <w:qFormat/>
    <w:tblPr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  <w:tblStylePr w:type="firstCol">
      <w:rPr>
        <w:rFonts w:ascii="Arial" w:hAnsi="Arial"/>
        <w:i/>
        <w:color w:val="254174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4" w:themeColor="accent1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7" w:customStyle="1">
    <w:name w:val="List Table 7 Colorful - Accent 2"/>
    <w:basedOn w:val="923"/>
    <w:uiPriority w:val="99"/>
    <w:qFormat/>
    <w:tblPr>
      <w:tblBorders>
        <w:right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8" w:customStyle="1">
    <w:name w:val="List Table 7 Colorful - Accent 3"/>
    <w:basedOn w:val="923"/>
    <w:uiPriority w:val="99"/>
    <w:qFormat/>
    <w:tblPr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9" w:customStyle="1">
    <w:name w:val="List Table 7 Colorful - Accent 4"/>
    <w:basedOn w:val="923"/>
    <w:uiPriority w:val="99"/>
    <w:qFormat/>
    <w:tblPr>
      <w:tblBorders>
        <w:right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0" w:customStyle="1">
    <w:name w:val="List Table 7 Colorful - Accent 5"/>
    <w:basedOn w:val="923"/>
    <w:uiPriority w:val="99"/>
    <w:qFormat/>
    <w:tblPr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1" w:customStyle="1">
    <w:name w:val="List Table 7 Colorful - Accent 6"/>
    <w:basedOn w:val="923"/>
    <w:uiPriority w:val="99"/>
    <w:qFormat/>
    <w:tblPr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2" w:customStyle="1">
    <w:name w:val="Lined - Accent"/>
    <w:basedOn w:val="923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1073" w:customStyle="1">
    <w:name w:val="Lined - Accent 1"/>
    <w:basedOn w:val="923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074" w:customStyle="1">
    <w:name w:val="Lined - Accent 2"/>
    <w:basedOn w:val="923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1075" w:customStyle="1">
    <w:name w:val="Lined - Accent 3"/>
    <w:basedOn w:val="923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076" w:customStyle="1">
    <w:name w:val="Lined - Accent 4"/>
    <w:basedOn w:val="923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1077" w:customStyle="1">
    <w:name w:val="Lined - Accent 5"/>
    <w:basedOn w:val="923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078" w:customStyle="1">
    <w:name w:val="Lined - Accent 6"/>
    <w:basedOn w:val="923"/>
    <w:uiPriority w:val="99"/>
    <w:qFormat/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079" w:customStyle="1">
    <w:name w:val="Bordered &amp; Lined - Accent"/>
    <w:basedOn w:val="923"/>
    <w:uiPriority w:val="99"/>
    <w:qFormat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1080" w:customStyle="1">
    <w:name w:val="Bordered &amp; Lined - Accent 1"/>
    <w:basedOn w:val="923"/>
    <w:uiPriority w:val="99"/>
    <w:qFormat/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081" w:customStyle="1">
    <w:name w:val="Bordered &amp; Lined - Accent 2"/>
    <w:basedOn w:val="923"/>
    <w:uiPriority w:val="99"/>
    <w:qFormat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1082" w:customStyle="1">
    <w:name w:val="Bordered &amp; Lined - Accent 3"/>
    <w:basedOn w:val="923"/>
    <w:uiPriority w:val="99"/>
    <w:qFormat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083" w:customStyle="1">
    <w:name w:val="Bordered &amp; Lined - Accent 4"/>
    <w:basedOn w:val="923"/>
    <w:uiPriority w:val="99"/>
    <w:qFormat/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1084" w:customStyle="1">
    <w:name w:val="Bordered &amp; Lined - Accent 5"/>
    <w:basedOn w:val="923"/>
    <w:uiPriority w:val="99"/>
    <w:qFormat/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085" w:customStyle="1">
    <w:name w:val="Bordered &amp; Lined - Accent 6"/>
    <w:basedOn w:val="923"/>
    <w:uiPriority w:val="99"/>
    <w:qFormat/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086" w:customStyle="1">
    <w:name w:val="Bordered"/>
    <w:basedOn w:val="923"/>
    <w:uiPriority w:val="99"/>
    <w:qFormat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</w:style>
  <w:style w:type="table" w:styleId="1087" w:customStyle="1">
    <w:name w:val="Bordered - Accent 1"/>
    <w:basedOn w:val="923"/>
    <w:uiPriority w:val="99"/>
    <w:qFormat/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1088" w:customStyle="1">
    <w:name w:val="Bordered - Accent 2"/>
    <w:basedOn w:val="923"/>
    <w:uiPriority w:val="99"/>
    <w:qFormat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</w:style>
  <w:style w:type="table" w:styleId="1089" w:customStyle="1">
    <w:name w:val="Bordered - Accent 3"/>
    <w:basedOn w:val="923"/>
    <w:uiPriority w:val="99"/>
    <w:qFormat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090" w:customStyle="1">
    <w:name w:val="Bordered - Accent 4"/>
    <w:basedOn w:val="923"/>
    <w:uiPriority w:val="99"/>
    <w:qFormat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</w:style>
  <w:style w:type="table" w:styleId="1091" w:customStyle="1">
    <w:name w:val="Bordered - Accent 5"/>
    <w:basedOn w:val="923"/>
    <w:uiPriority w:val="99"/>
    <w:qFormat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1092" w:customStyle="1">
    <w:name w:val="Bordered - Accent 6"/>
    <w:basedOn w:val="923"/>
    <w:uiPriority w:val="99"/>
    <w:qFormat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1093" w:customStyle="1">
    <w:name w:val="Текст сноски Знак"/>
    <w:link w:val="931"/>
    <w:uiPriority w:val="99"/>
    <w:qFormat/>
    <w:rPr>
      <w:sz w:val="18"/>
    </w:rPr>
  </w:style>
  <w:style w:type="character" w:styleId="1094" w:customStyle="1">
    <w:name w:val="Текст концевой сноски Знак"/>
    <w:link w:val="928"/>
    <w:uiPriority w:val="99"/>
    <w:qFormat/>
    <w:rPr>
      <w:sz w:val="20"/>
    </w:rPr>
  </w:style>
  <w:style w:type="paragraph" w:styleId="1095" w:customStyle="1">
    <w:name w:val="TOC Heading"/>
    <w:uiPriority w:val="39"/>
    <w:unhideWhenUsed/>
    <w:qFormat/>
    <w:rPr>
      <w:rFonts w:ascii="Calibri" w:hAnsi="Calibri" w:eastAsia="Calibri" w:cs="Calibri"/>
      <w:lang w:val="ru-RU" w:eastAsia="ru-RU" w:bidi="ar-SA"/>
    </w:rPr>
  </w:style>
  <w:style w:type="table" w:styleId="1096" w:customStyle="1">
    <w:name w:val="TableNormal"/>
    <w:uiPriority w:val="0"/>
    <w:qFormat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1097" w:customStyle="1">
    <w:name w:val="Абзац списка1"/>
    <w:uiPriority w:val="0"/>
    <w:qFormat/>
    <w:pPr>
      <w:contextualSpacing/>
      <w:spacing w:before="100" w:beforeAutospacing="1" w:after="100" w:afterAutospacing="1"/>
    </w:pPr>
    <w:rPr>
      <w:rFonts w:ascii="Calibri" w:hAnsi="Calibri" w:eastAsia="SimSun" w:cs="Times New Roman"/>
      <w:sz w:val="24"/>
      <w:szCs w:val="24"/>
      <w:lang w:val="ru" w:eastAsia="ru-RU" w:bidi="ar-SA"/>
    </w:rPr>
  </w:style>
  <w:style w:type="character" w:styleId="1098" w:customStyle="1">
    <w:name w:val="Текст примечания Знак"/>
    <w:basedOn w:val="922"/>
    <w:link w:val="930"/>
    <w:uiPriority w:val="99"/>
    <w:semiHidden/>
    <w:qFormat/>
    <w:rPr>
      <w:sz w:val="20"/>
      <w:szCs w:val="20"/>
    </w:rPr>
  </w:style>
  <w:style w:type="numbering" w:styleId="109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BDleovFdHgENeVk9PmGbbju0EQ==">CgMxLjAyDmgueXlrYmdjYWV5andjOAByITFncVNMM0VpR05HQ2xWNVFZMFpzamJEUnF2Zmk2eUNxRw==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/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Левицкий Федор Сергеевич</dc:creator>
  <cp:lastModifiedBy>Федор Левицкий</cp:lastModifiedBy>
  <cp:revision>6</cp:revision>
  <dcterms:created xsi:type="dcterms:W3CDTF">2026-04-07T15:53:00Z</dcterms:created>
  <dcterms:modified xsi:type="dcterms:W3CDTF">2026-04-10T08:32:27Z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A9A699ACE9744C1D8A19CA11ABB8C652_13</vt:lpwstr>
  </property>
</Properties>
</file>