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after="0" w:line="360" w:lineRule="auto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after="0" w:line="360" w:lineRule="auto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after="0" w:line="360" w:lineRule="auto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after="0" w:line="360" w:lineRule="auto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after="0" w:line="360" w:lineRule="auto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after="0" w:line="360" w:lineRule="auto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after="0" w:line="360" w:lineRule="auto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Сценарий мастер-лекции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«Как развивать интересы ребёнка без давления?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»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jc w:val="center"/>
        <w:spacing w:after="0" w:line="360" w:lineRule="auto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jc w:val="center"/>
        <w:spacing w:after="0" w:line="360" w:lineRule="auto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jc w:val="center"/>
        <w:spacing w:after="0" w:line="360" w:lineRule="auto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jc w:val="center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jc w:val="right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Автор: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jc w:val="right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Ляпистова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Кристина Ивановна,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right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сотрудник ФГБНУ «Институт изучения </w:t>
      </w:r>
      <w:r>
        <w:rPr>
          <w:rFonts w:ascii="Times New Roman" w:hAnsi="Times New Roman" w:eastAsia="Times New Roman" w:cs="Times New Roman"/>
          <w:sz w:val="28"/>
          <w:szCs w:val="28"/>
        </w:rPr>
        <w:br/>
        <w:t xml:space="preserve">детства, семьи и воспитания»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Москва, 2026 г.</w:t>
      </w:r>
      <w:r>
        <w:br w:type="page" w:clear="all"/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Цель: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обеспечить родителей школьников знаниями и инструментами для поддержки и развития интересов и талантов их детей.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Задачи: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numPr>
          <w:ilvl w:val="0"/>
          <w:numId w:val="9"/>
        </w:numPr>
        <w:ind w:left="0" w:firstLine="709"/>
        <w:jc w:val="both"/>
        <w:spacing w:after="0" w:line="360" w:lineRule="auto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Объяснить, как формируются интересы и увлечения у детей и почему важно это замечать.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9"/>
        </w:numPr>
        <w:ind w:left="0" w:firstLine="709"/>
        <w:jc w:val="both"/>
        <w:spacing w:after="0" w:line="360" w:lineRule="auto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Рассказать о методах поддержки интересов ребёнка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без давления со стороны родителей.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9"/>
        </w:numPr>
        <w:ind w:left="0" w:firstLine="709"/>
        <w:jc w:val="both"/>
        <w:spacing w:after="0" w:line="360" w:lineRule="auto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Поделиться примерами успешных практик и подходов к развитию увлечений детей.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9"/>
        </w:numPr>
        <w:ind w:left="0" w:firstLine="709"/>
        <w:jc w:val="both"/>
        <w:spacing w:after="0" w:line="360" w:lineRule="auto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Рассмотреть влияние окружения на формирование интересов ребёнка.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9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Рассмотреть роль государственных программ в формировании интересов детей.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Формируемые ценности: 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numPr>
          <w:ilvl w:val="0"/>
          <w:numId w:val="8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достоинство;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8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права и свободы человека;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8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гуманизм.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Смысловое направление: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реализация потенциала каждого человека, развитие его талантов.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Продолжительность: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45 ми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нут.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Целевая аудитория: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родители школьников.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Возрастное ограничение: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18+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Тип методического материала: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лекция.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Комплект материалов: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сценарий, презентация. 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center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right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right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right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br w:type="page" w:clear="all"/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t xml:space="preserve">Слайд 1. Инструкция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2. Титульный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Здравствуйте, уважаемые родители! Сегодня мы поговорим не о школьных оценках, не о дисциплине и даже не о будущей профессии напрямую. Мы поговорим о самом ценном топливе, на котором работает мозг и душа ребёнка — об интересе.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Представьте, что ваш ребёнок — это маленький, но очень любопытный корабль, который отправляется исследовать огромный океан мира. А кто вы в этом плавании? Вы не капитан, который жёстко рулит и командует: «Плыть туда!». Вы — штурман, метеоролог и добрый поп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утный ветер.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Ваша задача — помочь ему наносить на карту новые земли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: «Смотри, а что там, на том берегу? Давай посмотрим! Ой, шторм, уйдём в спокойную бухту». Сегодня мы научимся читать эту карту интересов. И главный наш тезис: интересы ребёнка могут и долж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ны меняться. Это не баловство, а главный способ познания мира в возрасте 7-11 лет.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3. Регистрация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Чтобы сделать нашу встречу ещё полезнее, предлагаю вам пройти быструю регистрацию. Для этого отсканируйте QR-код, который вы видите на экране, и ответь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те на несколько вопросов. Спасибо за вашу активность!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t xml:space="preserve">Слайд 4. Опрос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5. Интерактив «Мой детский интерес»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080000" cy="270000"/>
                <wp:effectExtent l="0" t="0" r="0" b="0"/>
                <wp:docPr id="3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/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1080000" cy="270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85.04pt;height:21.26pt;mso-wrap-distance-left:0.00pt;mso-wrap-distance-top:0.00pt;mso-wrap-distance-right:0.00pt;mso-wrap-distance-bottom:0.00pt;">
                <v:path textboxrect="0,0,0,0"/>
                <v:imagedata r:id="rId14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Сейчас мы проведём небольшую разминку «Мой детский интерес». Предлагаю кратко обсудить такие вопросы: какое у вас было самое яркое увлечение в возрасте 7-10 лет? Как относились к нему ваши родители? Связана ли ваша профессия сегодня с вашими интересами дет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ства?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eastAsia="Times New Roman" w:cs="Times New Roman"/>
          <w:i/>
          <w:iCs/>
          <w:sz w:val="28"/>
          <w:szCs w:val="28"/>
        </w:rPr>
        <w:t xml:space="preserve">Ответы участников.</w:t>
      </w: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6. «Давление и ранняя специализация» или «полное невмешательство»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Спасибо за ваши ответы! Как можно заметить, в большинстве случаев участие родителей в интересах ребёнка можно поделить на два полюса: «давление и ранняя специ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ализация» или «полное невмешательство».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сегодняшний день наша с вами цель — найти золотую середину. А основная задача — не выбрать профессию для ребёнка, а развить «мускул интереса», научить ребёнка пробовать, исследовать и получать радость от деятельн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ости.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7. Цикличность интересов ребёнка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Давайте подумаем, почему «сегодня динозавры, а завтра космос» — это прекрасно? Давайте сразу снимем тревогу. Если ваш ребёнок в сентябре бредил футболом, в октябре записался на рисование, а к Новому году просит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набор для опытов — с ним всё в порядке. Более того — он активно развивается. Это исследовательский инстинкт. Ребёнок пробует мир на вкус, цвет и ощупь. Он примеряет на себя разные роли: я — спортсмен, я — художник, я — учёный. Каждая такая «примерка» обог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ащает его опыт, создаёт новые нейронные связи в мозге. Это поиск «своего». Единственный способ найти то, что по-настоящему «зацепит», — это перебрать много вариантов. В этом возрасте устойчивый, пожизненный интерес — скорее исключение. Норма — это циклы: 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ркая вспышка увлечения (неделя, месяц), период насыщения и спад. Но даже после спада что-то остаётся: навык, знание, впечатление.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Что делать вам? Отпустить мысль, что выбранная в октябре «секция на год» — это навсегда. Договоритесь о «пробном периоде». Ск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ажите: «Давай попробуем 5 занятий, а потом решим». Это снимает груз обязательств с ребёнка и даёт ему психологическую свободу честно понять: «Моё — не моё».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этом возрасте основной фокус должен быть на процессе, поэтому родитель должен спрашивать, нравитс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я ли ребёнку процесс (например, копаться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энциклопедии, лепить из пластилина, считать ступеньки), а не задавать вопросы «Что ты создал?» и «Будешь ли ты этим заниматься?»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8. Практическое задание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800000" cy="198527"/>
                <wp:effectExtent l="0" t="0" r="0" b="0"/>
                <wp:docPr id="4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/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1800000" cy="198527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141.73pt;height:15.63pt;mso-wrap-distance-left:0.00pt;mso-wrap-distance-top:0.00pt;mso-wrap-distance-right:0.00pt;mso-wrap-distance-bottom:0.00pt;">
                <v:path textboxrect="0,0,0,0"/>
                <v:imagedata r:id="rId15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Предлагаю вам небольшое практическое задание. Подум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айте и ответьте на следующие вопросы: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 Когда в последний раз мой ребёнок был полностью поглощён занятием? Что это было?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 О чём он мне рассказывает с горящими глазами?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3. Что я чаще говорю: «Как здорово у тебя получается!» или «Почему тебе это нравится?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»?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Я думаю, по вашим ответам мы можем сделать следующий вывод: роль родителя — внимательный зритель и фанат, а не строгий тренер или критик. Поддерживаем эмоцию, а не только результат.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9.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Внимательный наблюдатель: что мы ищем?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Наша родительская роль — не оценщик («нарисовал криво», «забил мало голов»), а внимательный наблюдатель-антрополог. Мы изучаем уникальное существо — нашего ребёнка. Ключевой вопрос, который должен всегда звучать в нашей голове, не «Что он сделал?», а «Что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он при этом чувствовал?»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Что вы должны отмечать во время своих наблюдений: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 Моменты полного погружения («состояние потока»). Когда он забыл про время, не отвлекается. Чем он занимается? Собирает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конструктор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раскрашивает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рисунки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составляет коллекции камней, ч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итает энциклопедии про акул, возится с котёнком? Зафиксируйте это. Это маркер интереса.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 Бурные эмоции. О чём ваш ребёнок говорит с блеском в глазах? Какие вопросы задаёт? (Например, «А правда, что змея глухая? А из чего сделаны звёзды?»). Его вопросы —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это карта его текущих «исследовательских грантов».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3. Свободный выбор. Дан час свободного времени (без гаджетов). Чем он занимается? Скучает и ходит из угла в угол (тоже важная информация) или сам находит себе дело? Какое?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10. Фокус на процессе, а не на результате. Или «похвала, которая вдохновляет».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Здесь кроется самая большая сложность нашей родительской модели. Мы привыкли хвалить за итог: «какая красивая картина!», «Молодец, победил!». Это нормально. Но этого мало и иногда даже вредно. Ребёнок начинает делать что-то не для себя, а для нашей похва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лы, начинает бояться неидеального результата.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Как перефокусироваться на процесс?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 Описывайте, а не оценивайте. Вместо «Какое красивое солнце!» скажите: «Ты использовал всю палитру жёлтого и оранжевого! Видно, как ты старался прорисовать каждый лучик». Вы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показываете, что видите его усилия и подход.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 Задавайте вопросы о процессе. «Что было самым интересным в этом эксперименте?», «Что оказалось самым сложным, когда ты строил эту башню?», «Как тебе удалось договориться с ребятами в команде?». Эти вопросы 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чат ребёнка рефлексии.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3. Хвалите состояние, а не предмет. «Мне больше всего нравится, как у тебя горят глаза, когда ты рассказываешь про этих динозавров!» или «Я вижу, как ты был сосредоточен. Это здорово!».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 Легитимизируйте простую радость. «Я вижу, ка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 тебе нравится просто смешивать эти краски!» или «Похоже, тебе доставляет удовольствие сам процесс сборки, не так ли?».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Это даёт ребёнку разрешение получать удовольствие от деятельности без обязательного «шедевра» на выходе! </w:t>
      </w:r>
      <w:r>
        <w:rPr>
          <w:rFonts w:ascii="Times New Roman" w:hAnsi="Times New Roman" w:eastAsia="Times New Roman" w:cs="Times New Roman"/>
          <w:sz w:val="28"/>
          <w:szCs w:val="28"/>
          <w:u w:val="single"/>
        </w:rPr>
        <w:t xml:space="preserve">Это и есть поддержка без давле</w:t>
      </w:r>
      <w:r>
        <w:rPr>
          <w:rFonts w:ascii="Times New Roman" w:hAnsi="Times New Roman" w:eastAsia="Times New Roman" w:cs="Times New Roman"/>
          <w:sz w:val="28"/>
          <w:szCs w:val="28"/>
          <w:u w:val="single"/>
        </w:rPr>
        <w:t xml:space="preserve">ния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Мы тем самым говорим: «Твоё увлечение ценно само по себе, потому что оно делает тебя счастливым здесь и сейчас».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Наша задача — не ставить диагнозы и не наклеивать ярлыки («технарь», «гуманитарий»), а научиться быть чуткими исследователями внутреннего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мира своего ребёнка. Вам как родителям нужно научиться видеть не просто сиюминутные увлечения, а устойчивые склонности —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те виды деятельности,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к которым он возвращается снова и снова, которые приносят ему глубинное удовлетворение и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в которых он проявляет с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вою природную одарённость.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11. Открытые вопросы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Давайте договоримся сразу, что мы не ведём допрос. Мы создаём безопасное пространство для диалога, где любое увлечение, будь то создание браслетов из резинок или изучение карты звёздного неба, имеет цен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ность. Часто на наш вопрос «Что тебе интересно?» мы получаем короткое «Не знаю». Проблема не в ребёнке, а в вопросе. Он слишком широкий, абстрактный и требует от ребёнка сложной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саморефлексии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Нужны другие, более точные «инструменты». Вместо закрытых вопро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сов («да/нет») задавайте открытые, которые: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numPr>
          <w:ilvl w:val="0"/>
          <w:numId w:val="6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u w:val="single"/>
        </w:rPr>
        <w:t xml:space="preserve">Фокусируются на процессе и чувствах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: «Что было самым интересным для тебя на этом занятии?», «Что тебе больше всего понравилось делать руками?», «Когда ты чувствовал себя самым счастливым сегодня?», «Что оказалось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самым сложным, и как ты с этим справился?»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6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u w:val="single"/>
        </w:rPr>
        <w:t xml:space="preserve">Помогают анализировать и структурировать опыт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: «Ты любишь создавать что-то новое (рисовать, строить) или разбираться, как что-то устроено (разбирать механизмы, изучать правила игр)?», «Тебе больше нравится работать одному (глубоко погружаясь в своё) или в команде (обсуждая, распределяя роли)?», «Что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тебя привлекает в этом герое/профессии? Его сила, ум, умение помогать или что-то ещё?»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6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u w:val="single"/>
        </w:rPr>
        <w:t xml:space="preserve">Используют воображение и метафоры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: «Если бы у тебя была суперсила, связанная с твоим хобби, какая бы она была?» (например, суперсила терпения у модельщика, суперсила объ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яснять у будущего учителя). «Представь,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что ты можешь провести целый день в любом месте из твоего увлечения. Где бы ты был? В мастерской, в лаборатории, на сцене, в лесу?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Главный секрет в том, чтобы задавать эти вопросы неформально — по дороге из школы, за совместным делом, перед сном. И самое важное —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внимательно слушайте ответ, не перебивая и не оценивая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12. Доска интересов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Интересы часто бывают разрозненными. Что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бы увидеть связи, интересы нужно визуализировать. Доска интересов — это не план на будущее, а «моментальный снимок» внутреннего мира вашего ребёнка в данный период. Как это сделать (практический мастер-класс для вас и ребёнка):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 Подготовьте материалы: бо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льшой лист ватмана (или стена, если разрешите), старые журналы, ножницы, клей, фломастеры, распечатанные картинки из интернета, фотографии самого ребёнка за любимыми занятиями.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 Выделите время для этого задания и предложите ребёнку создать карту всего, ч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то ему нравится. Разделите лист на условные секторы (не обязательно подписывать):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5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Природа и животные;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5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Техника и конструирование;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5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Творчество и искусство;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5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Спорт и движение;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5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Наука и открытия;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5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Общение и помощь людям.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3. Дайте задачу ребёнку — найти и вырезать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картинки, которые «цепляют», нарисовать что-то своё, написать ключевые слова. Ваша задача — помогать, но не руководить. Комментируйте: «О, я и не знал, что тебе так нравятся кристаллы!», «Расскажи про этого робота».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 После завершения вместе рассмотрите г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отовую доску. Задайте вопросы: «В какой части листа получилось больше всего картинок?», «Что общего между этими разными увлечениями?» (Например, и сборка моделей, 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пазлы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— это про внимание к деталям, структуру. И танцы, и театр — про выражение эмоций тело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м).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Эта доска — живой документ. Пусть ребёнок добавляет на неё новые «находки». Через полгода вы вместе сможете увидеть эволюцию его интересов.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Устраивайте с ребёнком совместный досуг — это лучший способ давать ребёнку проявлять инициативу. Во время занятий не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контролируйте процесс, а участвуйте в нём: не учите ребёнка рисовать, а рисуйте параллельно и обсуждайте идеи, ощущения и эмоции. Не просто сходите в музей, а отправьтесь на поиски трёх самых странных экспонатов — дайте ребёнку возможность самому определи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ть критерии странности.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13. Влияние окружения: расширяем горизонты. Социальный мир ребёнка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Ни для кого не секрет, что наше окружение формирует и наши интересы, и наше будущее. Как окружение «использовать» только в плюс?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Друзья: интерес может загореться от друга. Это нормально. Не обесценивайте интерес («это просто потому, что Петя ходит»), а исп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ользуйте: «Здорово, что вы вместе этим увлекаетесь!».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Учителя и другие взрослые: важно находить и показывать ребёнку вдохновляющих взрослых (учитель, тренер, знакомый). Их роль — показать, как, а не что.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Семейный круг: показывайте разнообразие профессий 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быту. Пригласите в гости друзей с разной работой. Рассказывайте не только о «главных» профессиях, но и о хобби, которые стали делом жизни.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Ключевой посыл: вы — главный «куратор» окружения. Вы можете наполнить среду ребёнка разнообразием: книги, фильмы, экс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курсии на работу к знакомым, каналы о науке и искусстве.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u w:val="singl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080000" cy="224100"/>
                <wp:effectExtent l="0" t="0" r="0" b="0"/>
                <wp:docPr id="5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/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1080000" cy="2241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85.04pt;height:17.65pt;mso-wrap-distance-left:0.00pt;mso-wrap-distance-top:0.00pt;mso-wrap-distance-right:0.00pt;mso-wrap-distance-bottom:0.00pt;">
                <v:path textboxrect="0,0,0,0"/>
                <v:imagedata r:id="rId16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  <w:u w:val="single"/>
        </w:rPr>
      </w:r>
      <w:r>
        <w:rPr>
          <w:rFonts w:ascii="Times New Roman" w:hAnsi="Times New Roman" w:eastAsia="Times New Roman" w:cs="Times New Roman"/>
          <w:sz w:val="28"/>
          <w:szCs w:val="28"/>
          <w:u w:val="single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 есть ли в аудитории те, кто сталкивался с ситуацией, когда ребёнок бросал кружок через месяц? Как вы считаете — это плохо или хорошо?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iCs/>
          <w:sz w:val="28"/>
          <w:szCs w:val="28"/>
        </w:rPr>
      </w:pPr>
      <w:r>
        <w:rPr>
          <w:rFonts w:ascii="Times New Roman" w:hAnsi="Times New Roman" w:eastAsia="Times New Roman" w:cs="Times New Roman"/>
          <w:i/>
          <w:iCs/>
          <w:sz w:val="28"/>
          <w:szCs w:val="28"/>
        </w:rPr>
        <w:t xml:space="preserve">Ответы участников. </w:t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Здесь стоит задаться вопросами, почему 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ебёнок так поступал, что чувствовали вы, когда он бросал кружок, а также кто выбирал этот кружок: он сам или вы.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14. Среда вместо инструкций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Чтобы вы могли поддержать увлечения ребёнка и не переусердствовать с участием в кружках, предлагаю вам неско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лько техник: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7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«Правило трёх проб»: не настаивайте на посещении кружка весь год. Договоритесь о пробном периоде (3-5 занятий). Ребёнок имеет право сказать «нет» после честной пробы.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7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Меню активностей: вместо одного «нужного» кружка предложите «меню» на месяц: сходили на 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астер-класс по гончарному делу, в выходные — в геологический музей, дома — простой химический эксперимент. Расширьте поле выбора. Посещайте с ребёнком мастер-классы как пробы, а не приговоры: выбирайте не «полезные» курсы, а разнообразные и короткие формат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ы: гончарная мастерская, робототехника за один день, кулинарный урок, занятие по фото.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Ключевой принцип: «Мы идём не учиться, а пробовать и получать новый опыт». После занятия обсудите не результат («слепил кривую вазу»), а ощущения («Тебе понравилось чувс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твовать глину в руках? Хочешь ещё?»).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7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Игровые форматы: предложите идеи «Профессия недели», ужин в стиле повара, «стройка» из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лего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(инженер), составление семейной газеты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(журналист). Игры должны быть по правилам ребёнка: разрешите ему быть главным в вашей совместной игре. «Сегодня ты — режиссёр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а мы — актёры в твоём спектакле». Или: «Ты — архитектор, а я — строитель, говори, что делать». В этой роли он проявит свои лидерские качества, организаторские способности или творческую фантазию.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7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«А что, если бы ты был...?»: игра по дороге в школу. «А чт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о, если бы ты был архитектором, какую детскую площадку ты бы построил?»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Самый точный способ узнать о склонностях — наблюдать за ребёнком в действии, а ещё лучше — действовать вместе с ним. Но здесь важно не руководить, а следовать за ним, быть «помощником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учёного».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7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Тематические «погружения» на выходных: если ребёнок увлёкся динозаврами — не просто купите книгу, а станьте палеонтологами на день. Вылепите из глины скелет, проведите «раскопки» в песочнице, снимите короткий документальный фильм на телефон. Это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покажет, что именно его цепляет: сам процесс копания (физическая активность), классификация видов (аналитический ум) или создание историй о них (творчество).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Введите правило золотого часа: хотя бы один час в неделю посвящайте занятию, которое инициировал 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ведёт ребёнок. Ваша полная включённость и интерес — лучшая поддержка.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u w:val="single"/>
        </w:rPr>
      </w:pPr>
      <w:r>
        <w:rPr>
          <w:rFonts w:ascii="Times New Roman" w:hAnsi="Times New Roman" w:eastAsia="Times New Roman" w:cs="Times New Roman"/>
          <w:sz w:val="28"/>
          <w:szCs w:val="28"/>
          <w:u w:val="single"/>
        </w:rPr>
      </w:r>
      <w:r>
        <w:rPr>
          <w:rFonts w:ascii="Times New Roman" w:hAnsi="Times New Roman" w:eastAsia="Times New Roman" w:cs="Times New Roman"/>
          <w:sz w:val="28"/>
          <w:szCs w:val="28"/>
          <w:u w:val="single"/>
        </w:rPr>
      </w:r>
      <w:r>
        <w:rPr>
          <w:rFonts w:ascii="Times New Roman" w:hAnsi="Times New Roman" w:eastAsia="Times New Roman" w:cs="Times New Roman"/>
          <w:sz w:val="28"/>
          <w:szCs w:val="28"/>
          <w:u w:val="single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15. Роль государства в формировании интересов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Наша родительская чуткость — это первый и самый важный шаг в большой национальной системе развития талантов. Государство сегодня соз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даёт серьёзные программы, гранты и целые экосистемы (такие как «Сириус», «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Кванториумы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», «IT-кубы», олимпиадное движение, гранты Росмолодёжи) для поддержки одарённых детей и молодёжи.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Но чтобы ребёнок смог в будущем воспользоваться этими возможностями, его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интерес нужно вовремя увидеть, бережно поддержать и развить. Вы своей поддержкой без давления закладываете фундамент, на котором потом может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вырасти профессиональный успех, поддержанный государственными инициативами. Ваша наблюдательность сегодня — это пе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рвичная диагностика таланта, которую не сделает никакой официальный институт.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Итак, резюмируя вышеизложенное, можно выделить главное: интересы меняются — это хорошо, это исследование. Ваша роль — создавать среду, наблюдать, поддерживать процесс. Главный ре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зультат сейчас — не профессия, а познавательная активность, уверенность в себе и умение делать выбор.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Когда мы говорим о совместных занятиях и расширении кругозора, важно помнить, что наша страна предоставляет для этого огромные возможности.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Ваши действия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— это первый шаг, за которым последуют системные предложения: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4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Наставничество и системы поддержки: после того как вы в семье выявили стойкий интерес ребёнка (к робототехнике, экологии, искусству), вы можете найти для него внешнего наставника. Сегодня в России активно развиваются системы профориентации («Билет в будуще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е»), где школьники могут пообщаться с профессионалами, и программы наставничества от ведущих компаний и вузов. Вы как родитель можете стать «проводником» ребёнка в эти системы.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4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Конкурсы и гранты как игра на развитие: для ребёнка 8-11 лет участие в конкурсе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— это не про давление, а про игру и новый опыт. Обращайте внимание на творческие конкурсы, научно-технические фестивали и олимпиады, которые проводятся при государственной поддержке (например, «Большая перемена»). Участие в них — способ показать ребёнку,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что его увлечение серьёзно и может быть оценено в большом мире. Это следующая ступень после вашей семейной «Доски интересов».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4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Доступ к качественному образованию: обнаружив глубокий интерес, вы можете искать для его развития не просто кружок, а специализиро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ванные образовательные проекты, которые создаются по всей стране в рамках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национальных целей. Вы — тот самый «агент», который помогает ребёнку найти и использовать эти возможности для самореализации.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16. Рефлексия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Ваша задача — не запрограммировать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путь ребёнка, а дать ему столько «строительных блоков» (впечатлений, навыков, знаний), чтобы в будущем он смог построить из них свою уникальную траекторию. Подводя итог, хочу подчеркнуть масштаб и важность вашей роли. Вы не одиноки в своём желании развить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таланты ребёнка. Ваша семейная политика поддержки интересов идеально совпадает с государственной стратегией развития человеческого потенциала. Ваша чуткость и ненавязчивая помощь — это начало пути. А дальше включается целая экосистема возможностей: от круж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ков в школе и центров дополнительного образования до всероссийских конкурсов, образовательных центров для одарённых детей и систем грантов для молодёжи. Ваша задача на данном этапе — зажечь искру интереса и поддерживать пламя. А для разгоревшегося огня тал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анта в нашей стране сегодня создаётся всё больше возможностей: инфраструктура, наставники, финансовая и социальная поддержка. Развивая интересы ребёнка без давления сегодня, вы не просто делаете его детство счастливее — вы помогаете ему занять своё место 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будущем, где его потенциал будет востребован и реализован в полной мере. Ваш ребёнок — это не чистый лист, а уже написанное захватывающее письмо. Наша родительская задача — не писать это письмо за него, а помочь ему разобрать собственный почерк, увидеть г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лавные слова и сюжетные линии.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Давайте закрепим наши ключевые выводы: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3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Задавайте «открывающие» вопросы, которые касаются чувств и процесса.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3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Создавайте доску интересов как инструмент диалога и визуализации.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3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Погружайтесь в совместную деятельность как равный 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артнёр, следующий за интересом ребёнка.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17. Финальный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Склонности — это не приговор, а возможности для развития. Увидев, что ребёнку нравится систематизировать (марки, наклейки), вы можете предложить ему вести календарь погоды или коллекцию минералов. Это не выбор профессии. Это расширение мира в том направлен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ии, куда он сам, своим внутренним компасом, уже показывает. Будьте любопытными исследователями своего ребёнка. Иногда самый важный ответ — не то, что он скажет, а тот блеск в глазах, который появится, когда вы вместе будете лепить того самого динозавра. Ва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ша роль — с интересом и уважением смотреть на эту карту, иногда помогая рассмотреть детали в подзорную трубу, но никогда не перерисовывая её по своему усмотрению. Доверяйте своему ребёнку. Доверяйте его природному любопытству. Поддерживайте огонь в его гла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зах, а не трофеи на полке. Именно из этого огня в будущем и разгорится настоящая увлечённость, которая может стать делом жизни. Помните, что родитель — первый и главный наставник в национальной системе развития талантов. Спасибо за ваш труд и мудрость. Дав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айте беречь самое ценное — радость познания у наших детей.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18. Обратная связь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Спасибо за внимание! Надеюсь, вам было интересно сегодня, и вы узнали что-то новое или закрепили уже имеющиеся знания. А сейчас прошу вас оставить обратную связь по QR-код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у, который вы видите на экране.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/>
    </w:p>
    <w:p>
      <w:pPr>
        <w:ind w:firstLine="0"/>
        <w:jc w:val="both"/>
        <w:spacing w:after="0" w:line="360" w:lineRule="auto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19. Полезные ссылки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0"/>
        <w:jc w:val="center"/>
        <w:spacing w:after="0" w:line="360" w:lineRule="auto"/>
        <w:rPr>
          <w:highlight w:val="none"/>
        </w:rPr>
      </w:pPr>
      <w:r>
        <w:br w:type="page" w:clear="all"/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Источники</w:t>
      </w:r>
      <w:r>
        <w:rPr>
          <w:highlight w:val="none"/>
        </w:rPr>
      </w:r>
      <w:r>
        <w:rPr>
          <w:highlight w:val="none"/>
        </w:rPr>
      </w:r>
    </w:p>
    <w:p>
      <w:pPr>
        <w:numPr>
          <w:ilvl w:val="0"/>
          <w:numId w:val="2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Гиппенрейтер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Ю. Б. «Общаться с ребёнком. Как?»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2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Фабер А.,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Мазлиш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Э. «Как говорить, чтобы дети слушали, и как слушать, чтобы дети говорили».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2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Выготский Л. С. «Игра и её роль в психическом развитии ребёнка».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2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Элмоун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Д. «Хорошая игра: как свободная игра делает нас лучше».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2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Робинсон К.,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Ароника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Л. «Найди своё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призвание».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2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Веракса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Н. Е.,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Веракса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А. Н. «Развитие ребёнка в дошкольном детстве».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2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Леонтьев Д. А. «Психология смысла».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2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Всероссийский конкурс «Большая перемена» (</w:t>
      </w:r>
      <w:hyperlink r:id="rId17" w:tooltip="https://bolshayaperemena.online/" w:history="1">
        <w:r>
          <w:rPr>
            <w:rFonts w:ascii="Times New Roman" w:hAnsi="Times New Roman" w:eastAsia="Times New Roman" w:cs="Times New Roman"/>
            <w:sz w:val="28"/>
            <w:szCs w:val="28"/>
            <w:u w:val="single"/>
          </w:rPr>
          <w:t xml:space="preserve">https://bolshayaperemena.online/</w:t>
        </w:r>
      </w:hyperlink>
      <w:r>
        <w:rPr>
          <w:rFonts w:ascii="Times New Roman" w:hAnsi="Times New Roman" w:eastAsia="Times New Roman" w:cs="Times New Roman"/>
          <w:sz w:val="28"/>
          <w:szCs w:val="28"/>
        </w:rPr>
        <w:t xml:space="preserve">).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2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Проект «Б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илет в будущее» (</w:t>
      </w:r>
      <w:hyperlink r:id="rId18" w:tooltip="https://bvbinfo.ru/" w:history="1">
        <w:r>
          <w:rPr>
            <w:rFonts w:ascii="Times New Roman" w:hAnsi="Times New Roman" w:eastAsia="Times New Roman" w:cs="Times New Roman"/>
            <w:sz w:val="28"/>
            <w:szCs w:val="28"/>
            <w:u w:val="single"/>
          </w:rPr>
          <w:t xml:space="preserve">https://bvbinfo.ru/</w:t>
        </w:r>
      </w:hyperlink>
      <w:r>
        <w:rPr>
          <w:rFonts w:ascii="Times New Roman" w:hAnsi="Times New Roman" w:eastAsia="Times New Roman" w:cs="Times New Roman"/>
          <w:sz w:val="28"/>
          <w:szCs w:val="28"/>
        </w:rPr>
        <w:t xml:space="preserve">).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2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Образовательный центр «Сириус» (</w:t>
      </w:r>
      <w:hyperlink r:id="rId19" w:tooltip="https://sochisirius.ru/" w:history="1">
        <w:r>
          <w:rPr>
            <w:rFonts w:ascii="Times New Roman" w:hAnsi="Times New Roman" w:eastAsia="Times New Roman" w:cs="Times New Roman"/>
            <w:sz w:val="28"/>
            <w:szCs w:val="28"/>
            <w:u w:val="single"/>
          </w:rPr>
          <w:t xml:space="preserve">https://sochisirius.ru/</w:t>
        </w:r>
      </w:hyperlink>
      <w:r>
        <w:rPr>
          <w:rFonts w:ascii="Times New Roman" w:hAnsi="Times New Roman" w:eastAsia="Times New Roman" w:cs="Times New Roman"/>
          <w:sz w:val="28"/>
          <w:szCs w:val="28"/>
        </w:rPr>
        <w:t xml:space="preserve">).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2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Федеральные проекты «Успех каждого ребёнка», «Социальные лифты для каждого».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sectPr>
      <w:headerReference w:type="default" r:id="rId9"/>
      <w:headerReference w:type="first" r:id="rId10"/>
      <w:footerReference w:type="default" r:id="rId11"/>
      <w:footerReference w:type="even" r:id="rId12"/>
      <w:footnotePr/>
      <w:endnotePr/>
      <w:type w:val="nextPage"/>
      <w:pgSz w:w="11906" w:h="16838" w:orient="portrait"/>
      <w:pgMar w:top="1134" w:right="1134" w:bottom="1134" w:left="1134" w:header="708" w:footer="708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409020205020404"/>
  </w:font>
  <w:font w:name="Noto Sans Symbols"/>
  <w:font w:name="Georgia">
    <w:panose1 w:val="0204050305040603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right"/>
      <w:spacing w:after="0" w:line="240" w:lineRule="auto"/>
      <w:tabs>
        <w:tab w:val="center" w:pos="4677" w:leader="none"/>
        <w:tab w:val="right" w:pos="9355" w:leader="none"/>
      </w:tabs>
      <w:rPr>
        <w:rFonts w:ascii="Times New Roman" w:hAnsi="Times New Roman" w:eastAsia="Times New Roman" w:cs="Times New Roman"/>
        <w:color w:val="000000"/>
        <w:sz w:val="28"/>
        <w:szCs w:val="28"/>
      </w:r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>
      <w:rPr>
        <w:rFonts w:ascii="Times New Roman" w:hAnsi="Times New Roman" w:eastAsia="Times New Roman" w:cs="Times New Roman"/>
        <w:color w:val="000000"/>
        <w:sz w:val="28"/>
        <w:szCs w:val="28"/>
      </w:rPr>
      <w:fldChar w:fldCharType="begin"/>
    </w:r>
    <w:r>
      <w:rPr>
        <w:rFonts w:ascii="Times New Roman" w:hAnsi="Times New Roman" w:eastAsia="Times New Roman" w:cs="Times New Roman"/>
        <w:color w:val="000000"/>
        <w:sz w:val="28"/>
        <w:szCs w:val="28"/>
      </w:rPr>
      <w:instrText xml:space="preserve">PAGE</w:instrText>
    </w:r>
    <w:r>
      <w:rPr>
        <w:rFonts w:ascii="Times New Roman" w:hAnsi="Times New Roman" w:eastAsia="Times New Roman" w:cs="Times New Roman"/>
        <w:color w:val="000000"/>
        <w:sz w:val="28"/>
        <w:szCs w:val="28"/>
      </w:rPr>
      <w:fldChar w:fldCharType="separate"/>
    </w:r>
    <w:r>
      <w:rPr>
        <w:rFonts w:ascii="Times New Roman" w:hAnsi="Times New Roman" w:eastAsia="Times New Roman" w:cs="Times New Roman"/>
        <w:color w:val="000000"/>
        <w:sz w:val="28"/>
        <w:szCs w:val="28"/>
      </w:rPr>
      <w:t xml:space="preserve">2</w:t>
    </w:r>
    <w:r>
      <w:rPr>
        <w:rFonts w:ascii="Times New Roman" w:hAnsi="Times New Roman" w:eastAsia="Times New Roman" w:cs="Times New Roman"/>
        <w:color w:val="000000"/>
        <w:sz w:val="28"/>
        <w:szCs w:val="28"/>
      </w:rPr>
      <w:fldChar w:fldCharType="end"/>
    </w:r>
    <w:r>
      <w:rPr>
        <w:rFonts w:ascii="Times New Roman" w:hAnsi="Times New Roman" w:eastAsia="Times New Roman" w:cs="Times New Roman"/>
        <w:color w:val="000000"/>
        <w:sz w:val="28"/>
        <w:szCs w:val="28"/>
      </w:rPr>
    </w:r>
    <w:r>
      <w:rPr>
        <w:rFonts w:ascii="Times New Roman" w:hAnsi="Times New Roman" w:eastAsia="Times New Roman" w:cs="Times New Roman"/>
        <w:color w:val="000000"/>
        <w:sz w:val="28"/>
        <w:szCs w:val="28"/>
      </w:rPr>
    </w:r>
  </w:p>
  <w:p>
    <w:pPr>
      <w:spacing w:after="0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</w:rPr>
    </w:r>
    <w:r>
      <w:rPr>
        <w:rFonts w:ascii="Times New Roman" w:hAnsi="Times New Roman" w:eastAsia="Times New Roman" w:cs="Times New Roman"/>
        <w:sz w:val="28"/>
        <w:szCs w:val="28"/>
      </w:rPr>
    </w:r>
    <w:r>
      <w:rPr>
        <w:rFonts w:ascii="Times New Roman" w:hAnsi="Times New Roman" w:eastAsia="Times New Roman" w:cs="Times New Roman"/>
        <w:sz w:val="28"/>
        <w:szCs w:val="28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right"/>
      <w:spacing w:after="0" w:line="240" w:lineRule="auto"/>
      <w:tabs>
        <w:tab w:val="center" w:pos="4677" w:leader="none"/>
        <w:tab w:val="right" w:pos="9355" w:leader="none"/>
      </w:tabs>
      <w:rPr>
        <w:color w:val="000000"/>
      </w:r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>
      <w:rPr>
        <w:color w:val="000000"/>
      </w:rPr>
      <w:fldChar w:fldCharType="begin"/>
    </w:r>
    <w:r>
      <w:rPr>
        <w:color w:val="000000"/>
      </w:rPr>
      <w:instrText xml:space="preserve"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  <w:r>
      <w:rPr>
        <w:color w:val="000000"/>
      </w:rPr>
    </w:r>
    <w:r>
      <w:rPr>
        <w:color w:val="000000"/>
      </w:rPr>
    </w:r>
  </w:p>
  <w:p>
    <w:pPr>
      <w:ind w:right="360"/>
      <w:spacing w:after="0" w:line="240" w:lineRule="auto"/>
      <w:tabs>
        <w:tab w:val="center" w:pos="4677" w:leader="none"/>
        <w:tab w:val="right" w:pos="9355" w:leader="none"/>
      </w:tabs>
      <w:rPr>
        <w:color w:val="000000"/>
      </w:r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>
      <w:rPr>
        <w:color w:val="000000"/>
      </w:rPr>
    </w:r>
    <w:r>
      <w:rPr>
        <w:color w:val="000000"/>
      </w:rPr>
    </w:r>
    <w:r>
      <w:rPr>
        <w:color w:val="00000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center"/>
      <w:spacing w:after="0" w:line="240" w:lineRule="auto"/>
      <w:tabs>
        <w:tab w:val="center" w:pos="4677" w:leader="none"/>
        <w:tab w:val="right" w:pos="9355" w:leader="none"/>
      </w:tabs>
      <w:rPr>
        <w:color w:val="000000"/>
      </w:r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>
      <w:rPr>
        <w:color w:val="000000"/>
      </w:rPr>
      <mc:AlternateContent>
        <mc:Choice Requires="wpg">
          <w:drawing>
            <wp:inline xmlns:wp="http://schemas.openxmlformats.org/drawingml/2006/wordprocessingDrawing" distT="0" distB="0" distL="0" distR="0">
              <wp:extent cx="1755775" cy="408305"/>
              <wp:effectExtent l="0" t="0" r="0" b="0"/>
              <wp:docPr id="1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png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755775" cy="408305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38.25pt;height:32.15pt;mso-wrap-distance-left:0.00pt;mso-wrap-distance-top:0.00pt;mso-wrap-distance-right:0.00pt;mso-wrap-distance-bottom:0.00pt;">
              <v:path textboxrect="0,0,0,0"/>
              <v:imagedata r:id="rId1" o:title=""/>
            </v:shape>
          </w:pict>
        </mc:Fallback>
      </mc:AlternateContent>
    </w:r>
    <w:r>
      <w:rPr>
        <w:color w:val="000000"/>
      </w:rPr>
    </w:r>
    <w:r>
      <w:rPr>
        <w:color w:val="000000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center"/>
      <w:spacing w:after="0" w:line="240" w:lineRule="auto"/>
      <w:tabs>
        <w:tab w:val="center" w:pos="4677" w:leader="none"/>
        <w:tab w:val="right" w:pos="9355" w:leader="none"/>
      </w:tabs>
      <w:rPr>
        <w:color w:val="000000"/>
      </w:r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>
      <w:rPr>
        <w:color w:val="000000"/>
      </w:rPr>
      <mc:AlternateContent>
        <mc:Choice Requires="wpg">
          <w:drawing>
            <wp:inline xmlns:wp="http://schemas.openxmlformats.org/drawingml/2006/wordprocessingDrawing" distT="0" distB="0" distL="0" distR="0">
              <wp:extent cx="1755775" cy="408305"/>
              <wp:effectExtent l="0" t="0" r="0" b="0"/>
              <wp:docPr id="2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png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755775" cy="408305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width:138.25pt;height:32.15pt;mso-wrap-distance-left:0.00pt;mso-wrap-distance-top:0.00pt;mso-wrap-distance-right:0.00pt;mso-wrap-distance-bottom:0.00pt;">
              <v:path textboxrect="0,0,0,0"/>
              <v:imagedata r:id="rId1" o:title=""/>
            </v:shape>
          </w:pict>
        </mc:Fallback>
      </mc:AlternateContent>
    </w:r>
    <w:r>
      <w:rPr>
        <w:color w:val="000000"/>
      </w:rPr>
    </w:r>
    <w:r>
      <w:rPr>
        <w:color w:val="000000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9" w:hanging="37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99" w:hanging="39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99" w:hanging="39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1428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868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3588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5028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748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7188" w:hanging="360"/>
      </w:pPr>
      <w:rPr>
        <w:rFonts w:ascii="Noto Sans Symbols" w:hAnsi="Noto Sans Symbols" w:eastAsia="Noto Sans Symbols" w:cs="Noto Sans Symbols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3"/>
  </w:num>
  <w:num w:numId="5">
    <w:abstractNumId w:val="5"/>
  </w:num>
  <w:num w:numId="6">
    <w:abstractNumId w:val="4"/>
  </w:num>
  <w:num w:numId="7">
    <w:abstractNumId w:val="1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ru" w:eastAsia="ru-RU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55">
    <w:name w:val="Heading 1 Char"/>
    <w:basedOn w:val="929"/>
    <w:link w:val="923"/>
    <w:uiPriority w:val="9"/>
    <w:rPr>
      <w:rFonts w:ascii="Arial" w:hAnsi="Arial" w:eastAsia="Arial" w:cs="Arial"/>
      <w:sz w:val="40"/>
      <w:szCs w:val="40"/>
    </w:rPr>
  </w:style>
  <w:style w:type="character" w:styleId="756">
    <w:name w:val="Heading 2 Char"/>
    <w:basedOn w:val="929"/>
    <w:link w:val="924"/>
    <w:uiPriority w:val="9"/>
    <w:rPr>
      <w:rFonts w:ascii="Arial" w:hAnsi="Arial" w:eastAsia="Arial" w:cs="Arial"/>
      <w:sz w:val="34"/>
    </w:rPr>
  </w:style>
  <w:style w:type="character" w:styleId="757">
    <w:name w:val="Heading 3 Char"/>
    <w:basedOn w:val="929"/>
    <w:link w:val="925"/>
    <w:uiPriority w:val="9"/>
    <w:rPr>
      <w:rFonts w:ascii="Arial" w:hAnsi="Arial" w:eastAsia="Arial" w:cs="Arial"/>
      <w:sz w:val="30"/>
      <w:szCs w:val="30"/>
    </w:rPr>
  </w:style>
  <w:style w:type="character" w:styleId="758">
    <w:name w:val="Heading 4 Char"/>
    <w:basedOn w:val="929"/>
    <w:link w:val="926"/>
    <w:uiPriority w:val="9"/>
    <w:rPr>
      <w:rFonts w:ascii="Arial" w:hAnsi="Arial" w:eastAsia="Arial" w:cs="Arial"/>
      <w:b/>
      <w:bCs/>
      <w:sz w:val="26"/>
      <w:szCs w:val="26"/>
    </w:rPr>
  </w:style>
  <w:style w:type="character" w:styleId="759">
    <w:name w:val="Heading 5 Char"/>
    <w:basedOn w:val="929"/>
    <w:link w:val="927"/>
    <w:uiPriority w:val="9"/>
    <w:rPr>
      <w:rFonts w:ascii="Arial" w:hAnsi="Arial" w:eastAsia="Arial" w:cs="Arial"/>
      <w:b/>
      <w:bCs/>
      <w:sz w:val="24"/>
      <w:szCs w:val="24"/>
    </w:rPr>
  </w:style>
  <w:style w:type="character" w:styleId="760">
    <w:name w:val="Heading 6 Char"/>
    <w:basedOn w:val="929"/>
    <w:link w:val="928"/>
    <w:uiPriority w:val="9"/>
    <w:rPr>
      <w:rFonts w:ascii="Arial" w:hAnsi="Arial" w:eastAsia="Arial" w:cs="Arial"/>
      <w:b/>
      <w:bCs/>
      <w:sz w:val="22"/>
      <w:szCs w:val="22"/>
    </w:rPr>
  </w:style>
  <w:style w:type="paragraph" w:styleId="761">
    <w:name w:val="Heading 7"/>
    <w:basedOn w:val="922"/>
    <w:next w:val="922"/>
    <w:link w:val="76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62">
    <w:name w:val="Heading 7 Char"/>
    <w:basedOn w:val="929"/>
    <w:link w:val="76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63">
    <w:name w:val="Heading 8"/>
    <w:basedOn w:val="922"/>
    <w:next w:val="922"/>
    <w:link w:val="76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64">
    <w:name w:val="Heading 8 Char"/>
    <w:basedOn w:val="929"/>
    <w:link w:val="763"/>
    <w:uiPriority w:val="9"/>
    <w:rPr>
      <w:rFonts w:ascii="Arial" w:hAnsi="Arial" w:eastAsia="Arial" w:cs="Arial"/>
      <w:i/>
      <w:iCs/>
      <w:sz w:val="22"/>
      <w:szCs w:val="22"/>
    </w:rPr>
  </w:style>
  <w:style w:type="paragraph" w:styleId="765">
    <w:name w:val="Heading 9"/>
    <w:basedOn w:val="922"/>
    <w:next w:val="922"/>
    <w:link w:val="76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66">
    <w:name w:val="Heading 9 Char"/>
    <w:basedOn w:val="929"/>
    <w:link w:val="765"/>
    <w:uiPriority w:val="9"/>
    <w:rPr>
      <w:rFonts w:ascii="Arial" w:hAnsi="Arial" w:eastAsia="Arial" w:cs="Arial"/>
      <w:i/>
      <w:iCs/>
      <w:sz w:val="21"/>
      <w:szCs w:val="21"/>
    </w:rPr>
  </w:style>
  <w:style w:type="paragraph" w:styleId="767">
    <w:name w:val="No Spacing"/>
    <w:uiPriority w:val="1"/>
    <w:qFormat/>
    <w:pPr>
      <w:spacing w:before="0" w:after="0" w:line="240" w:lineRule="auto"/>
    </w:pPr>
  </w:style>
  <w:style w:type="character" w:styleId="768">
    <w:name w:val="Title Char"/>
    <w:basedOn w:val="929"/>
    <w:link w:val="933"/>
    <w:uiPriority w:val="10"/>
    <w:rPr>
      <w:sz w:val="48"/>
      <w:szCs w:val="48"/>
    </w:rPr>
  </w:style>
  <w:style w:type="character" w:styleId="769">
    <w:name w:val="Subtitle Char"/>
    <w:basedOn w:val="929"/>
    <w:link w:val="947"/>
    <w:uiPriority w:val="11"/>
    <w:rPr>
      <w:sz w:val="24"/>
      <w:szCs w:val="24"/>
    </w:rPr>
  </w:style>
  <w:style w:type="paragraph" w:styleId="770">
    <w:name w:val="Quote"/>
    <w:basedOn w:val="922"/>
    <w:next w:val="922"/>
    <w:link w:val="771"/>
    <w:uiPriority w:val="29"/>
    <w:qFormat/>
    <w:pPr>
      <w:ind w:left="720" w:right="720"/>
    </w:pPr>
    <w:rPr>
      <w:i/>
    </w:rPr>
  </w:style>
  <w:style w:type="character" w:styleId="771">
    <w:name w:val="Quote Char"/>
    <w:link w:val="770"/>
    <w:uiPriority w:val="29"/>
    <w:rPr>
      <w:i/>
    </w:rPr>
  </w:style>
  <w:style w:type="paragraph" w:styleId="772">
    <w:name w:val="Intense Quote"/>
    <w:basedOn w:val="922"/>
    <w:next w:val="922"/>
    <w:link w:val="77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73">
    <w:name w:val="Intense Quote Char"/>
    <w:link w:val="772"/>
    <w:uiPriority w:val="30"/>
    <w:rPr>
      <w:i/>
    </w:rPr>
  </w:style>
  <w:style w:type="character" w:styleId="774">
    <w:name w:val="Header Char"/>
    <w:basedOn w:val="929"/>
    <w:link w:val="936"/>
    <w:uiPriority w:val="99"/>
  </w:style>
  <w:style w:type="character" w:styleId="775">
    <w:name w:val="Footer Char"/>
    <w:basedOn w:val="929"/>
    <w:link w:val="938"/>
    <w:uiPriority w:val="99"/>
  </w:style>
  <w:style w:type="paragraph" w:styleId="776">
    <w:name w:val="Caption"/>
    <w:basedOn w:val="922"/>
    <w:next w:val="92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77">
    <w:name w:val="Caption Char"/>
    <w:basedOn w:val="776"/>
    <w:link w:val="938"/>
    <w:uiPriority w:val="99"/>
  </w:style>
  <w:style w:type="table" w:styleId="778">
    <w:name w:val="Table Grid"/>
    <w:basedOn w:val="93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9">
    <w:name w:val="Table Grid Light"/>
    <w:basedOn w:val="93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0">
    <w:name w:val="Plain Table 1"/>
    <w:basedOn w:val="93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1">
    <w:name w:val="Plain Table 2"/>
    <w:basedOn w:val="93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2">
    <w:name w:val="Plain Table 3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83">
    <w:name w:val="Plain Table 4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Plain Table 5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85">
    <w:name w:val="Grid Table 1 Light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Grid Table 1 Light - Accent 1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Grid Table 1 Light - Accent 2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Grid Table 1 Light - Accent 3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Grid Table 1 Light - Accent 4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Grid Table 1 Light - Accent 5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Grid Table 1 Light - Accent 6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Grid Table 2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2 - Accent 1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2 - Accent 2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2 - Accent 3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2 - Accent 4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2 - Accent 5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2 - Accent 6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3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3 - Accent 1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3 - Accent 2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3 - Accent 3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3 - Accent 4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3 - Accent 5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3 - Accent 6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4"/>
    <w:basedOn w:val="9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07">
    <w:name w:val="Grid Table 4 - Accent 1"/>
    <w:basedOn w:val="9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08">
    <w:name w:val="Grid Table 4 - Accent 2"/>
    <w:basedOn w:val="9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9">
    <w:name w:val="Grid Table 4 - Accent 3"/>
    <w:basedOn w:val="9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0">
    <w:name w:val="Grid Table 4 - Accent 4"/>
    <w:basedOn w:val="9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1">
    <w:name w:val="Grid Table 4 - Accent 5"/>
    <w:basedOn w:val="9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2">
    <w:name w:val="Grid Table 4 - Accent 6"/>
    <w:basedOn w:val="9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3">
    <w:name w:val="Grid Table 5 Dark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14">
    <w:name w:val="Grid Table 5 Dark- Accent 1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15">
    <w:name w:val="Grid Table 5 Dark - Accent 2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16">
    <w:name w:val="Grid Table 5 Dark - Accent 3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17">
    <w:name w:val="Grid Table 5 Dark- Accent 4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18">
    <w:name w:val="Grid Table 5 Dark - Accent 5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19">
    <w:name w:val="Grid Table 5 Dark - Accent 6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20">
    <w:name w:val="Grid Table 6 Colorful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21">
    <w:name w:val="Grid Table 6 Colorful - Accent 1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22">
    <w:name w:val="Grid Table 6 Colorful - Accent 2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23">
    <w:name w:val="Grid Table 6 Colorful - Accent 3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24">
    <w:name w:val="Grid Table 6 Colorful - Accent 4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25">
    <w:name w:val="Grid Table 6 Colorful - Accent 5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26">
    <w:name w:val="Grid Table 6 Colorful - Accent 6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27">
    <w:name w:val="Grid Table 7 Colorful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Grid Table 7 Colorful - Accent 1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Grid Table 7 Colorful - Accent 2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Grid Table 7 Colorful - Accent 3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Grid Table 7 Colorful - Accent 4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Grid Table 7 Colorful - Accent 5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Grid Table 7 Colorful - Accent 6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List Table 1 Light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List Table 1 Light - Accent 1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List Table 1 Light - Accent 2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List Table 1 Light - Accent 3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List Table 1 Light - Accent 4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List Table 1 Light - Accent 5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List Table 1 Light - Accent 6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List Table 2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42">
    <w:name w:val="List Table 2 - Accent 1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43">
    <w:name w:val="List Table 2 - Accent 2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44">
    <w:name w:val="List Table 2 - Accent 3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45">
    <w:name w:val="List Table 2 - Accent 4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46">
    <w:name w:val="List Table 2 - Accent 5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47">
    <w:name w:val="List Table 2 - Accent 6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48">
    <w:name w:val="List Table 3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>
    <w:name w:val="List Table 3 - Accent 1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>
    <w:name w:val="List Table 3 - Accent 2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>
    <w:name w:val="List Table 3 - Accent 3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>
    <w:name w:val="List Table 3 - Accent 4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List Table 3 - Accent 5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>
    <w:name w:val="List Table 3 - Accent 6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>
    <w:name w:val="List Table 4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List Table 4 - Accent 1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List Table 4 - Accent 2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List Table 4 - Accent 3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List Table 4 - Accent 4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List Table 4 - Accent 5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List Table 4 - Accent 6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List Table 5 Dark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3">
    <w:name w:val="List Table 5 Dark - Accent 1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4">
    <w:name w:val="List Table 5 Dark - Accent 2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5">
    <w:name w:val="List Table 5 Dark - Accent 3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6">
    <w:name w:val="List Table 5 Dark - Accent 4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7">
    <w:name w:val="List Table 5 Dark - Accent 5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8">
    <w:name w:val="List Table 5 Dark - Accent 6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9">
    <w:name w:val="List Table 6 Colorful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70">
    <w:name w:val="List Table 6 Colorful - Accent 1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71">
    <w:name w:val="List Table 6 Colorful - Accent 2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72">
    <w:name w:val="List Table 6 Colorful - Accent 3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73">
    <w:name w:val="List Table 6 Colorful - Accent 4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74">
    <w:name w:val="List Table 6 Colorful - Accent 5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75">
    <w:name w:val="List Table 6 Colorful - Accent 6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76">
    <w:name w:val="List Table 7 Colorful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77">
    <w:name w:val="List Table 7 Colorful - Accent 1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878">
    <w:name w:val="List Table 7 Colorful - Accent 2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79">
    <w:name w:val="List Table 7 Colorful - Accent 3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80">
    <w:name w:val="List Table 7 Colorful - Accent 4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81">
    <w:name w:val="List Table 7 Colorful - Accent 5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882">
    <w:name w:val="List Table 7 Colorful - Accent 6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83">
    <w:name w:val="Lined - Accent"/>
    <w:basedOn w:val="9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4">
    <w:name w:val="Lined - Accent 1"/>
    <w:basedOn w:val="9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85">
    <w:name w:val="Lined - Accent 2"/>
    <w:basedOn w:val="9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86">
    <w:name w:val="Lined - Accent 3"/>
    <w:basedOn w:val="9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87">
    <w:name w:val="Lined - Accent 4"/>
    <w:basedOn w:val="9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88">
    <w:name w:val="Lined - Accent 5"/>
    <w:basedOn w:val="9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89">
    <w:name w:val="Lined - Accent 6"/>
    <w:basedOn w:val="9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90">
    <w:name w:val="Bordered &amp; Lined - Accent"/>
    <w:basedOn w:val="9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1">
    <w:name w:val="Bordered &amp; Lined - Accent 1"/>
    <w:basedOn w:val="9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92">
    <w:name w:val="Bordered &amp; Lined - Accent 2"/>
    <w:basedOn w:val="9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93">
    <w:name w:val="Bordered &amp; Lined - Accent 3"/>
    <w:basedOn w:val="9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94">
    <w:name w:val="Bordered &amp; Lined - Accent 4"/>
    <w:basedOn w:val="9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95">
    <w:name w:val="Bordered &amp; Lined - Accent 5"/>
    <w:basedOn w:val="9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96">
    <w:name w:val="Bordered &amp; Lined - Accent 6"/>
    <w:basedOn w:val="9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97">
    <w:name w:val="Bordered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98">
    <w:name w:val="Bordered - Accent 1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99">
    <w:name w:val="Bordered - Accent 2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00">
    <w:name w:val="Bordered - Accent 3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01">
    <w:name w:val="Bordered - Accent 4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02">
    <w:name w:val="Bordered - Accent 5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03">
    <w:name w:val="Bordered - Accent 6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04">
    <w:name w:val="Hyperlink"/>
    <w:uiPriority w:val="99"/>
    <w:unhideWhenUsed/>
    <w:rPr>
      <w:color w:val="0000ff" w:themeColor="hyperlink"/>
      <w:u w:val="single"/>
    </w:rPr>
  </w:style>
  <w:style w:type="paragraph" w:styleId="905">
    <w:name w:val="footnote text"/>
    <w:basedOn w:val="922"/>
    <w:link w:val="906"/>
    <w:uiPriority w:val="99"/>
    <w:semiHidden/>
    <w:unhideWhenUsed/>
    <w:pPr>
      <w:spacing w:after="40" w:line="240" w:lineRule="auto"/>
    </w:pPr>
    <w:rPr>
      <w:sz w:val="18"/>
    </w:rPr>
  </w:style>
  <w:style w:type="character" w:styleId="906">
    <w:name w:val="Footnote Text Char"/>
    <w:link w:val="905"/>
    <w:uiPriority w:val="99"/>
    <w:rPr>
      <w:sz w:val="18"/>
    </w:rPr>
  </w:style>
  <w:style w:type="character" w:styleId="907">
    <w:name w:val="footnote reference"/>
    <w:basedOn w:val="929"/>
    <w:uiPriority w:val="99"/>
    <w:unhideWhenUsed/>
    <w:rPr>
      <w:vertAlign w:val="superscript"/>
    </w:rPr>
  </w:style>
  <w:style w:type="paragraph" w:styleId="908">
    <w:name w:val="endnote text"/>
    <w:basedOn w:val="922"/>
    <w:link w:val="909"/>
    <w:uiPriority w:val="99"/>
    <w:semiHidden/>
    <w:unhideWhenUsed/>
    <w:pPr>
      <w:spacing w:after="0" w:line="240" w:lineRule="auto"/>
    </w:pPr>
    <w:rPr>
      <w:sz w:val="20"/>
    </w:rPr>
  </w:style>
  <w:style w:type="character" w:styleId="909">
    <w:name w:val="Endnote Text Char"/>
    <w:link w:val="908"/>
    <w:uiPriority w:val="99"/>
    <w:rPr>
      <w:sz w:val="20"/>
    </w:rPr>
  </w:style>
  <w:style w:type="character" w:styleId="910">
    <w:name w:val="endnote reference"/>
    <w:basedOn w:val="929"/>
    <w:uiPriority w:val="99"/>
    <w:semiHidden/>
    <w:unhideWhenUsed/>
    <w:rPr>
      <w:vertAlign w:val="superscript"/>
    </w:rPr>
  </w:style>
  <w:style w:type="paragraph" w:styleId="911">
    <w:name w:val="toc 1"/>
    <w:basedOn w:val="922"/>
    <w:next w:val="922"/>
    <w:uiPriority w:val="39"/>
    <w:unhideWhenUsed/>
    <w:pPr>
      <w:ind w:left="0" w:right="0" w:firstLine="0"/>
      <w:spacing w:after="57"/>
    </w:pPr>
  </w:style>
  <w:style w:type="paragraph" w:styleId="912">
    <w:name w:val="toc 2"/>
    <w:basedOn w:val="922"/>
    <w:next w:val="922"/>
    <w:uiPriority w:val="39"/>
    <w:unhideWhenUsed/>
    <w:pPr>
      <w:ind w:left="283" w:right="0" w:firstLine="0"/>
      <w:spacing w:after="57"/>
    </w:pPr>
  </w:style>
  <w:style w:type="paragraph" w:styleId="913">
    <w:name w:val="toc 3"/>
    <w:basedOn w:val="922"/>
    <w:next w:val="922"/>
    <w:uiPriority w:val="39"/>
    <w:unhideWhenUsed/>
    <w:pPr>
      <w:ind w:left="567" w:right="0" w:firstLine="0"/>
      <w:spacing w:after="57"/>
    </w:pPr>
  </w:style>
  <w:style w:type="paragraph" w:styleId="914">
    <w:name w:val="toc 4"/>
    <w:basedOn w:val="922"/>
    <w:next w:val="922"/>
    <w:uiPriority w:val="39"/>
    <w:unhideWhenUsed/>
    <w:pPr>
      <w:ind w:left="850" w:right="0" w:firstLine="0"/>
      <w:spacing w:after="57"/>
    </w:pPr>
  </w:style>
  <w:style w:type="paragraph" w:styleId="915">
    <w:name w:val="toc 5"/>
    <w:basedOn w:val="922"/>
    <w:next w:val="922"/>
    <w:uiPriority w:val="39"/>
    <w:unhideWhenUsed/>
    <w:pPr>
      <w:ind w:left="1134" w:right="0" w:firstLine="0"/>
      <w:spacing w:after="57"/>
    </w:pPr>
  </w:style>
  <w:style w:type="paragraph" w:styleId="916">
    <w:name w:val="toc 6"/>
    <w:basedOn w:val="922"/>
    <w:next w:val="922"/>
    <w:uiPriority w:val="39"/>
    <w:unhideWhenUsed/>
    <w:pPr>
      <w:ind w:left="1417" w:right="0" w:firstLine="0"/>
      <w:spacing w:after="57"/>
    </w:pPr>
  </w:style>
  <w:style w:type="paragraph" w:styleId="917">
    <w:name w:val="toc 7"/>
    <w:basedOn w:val="922"/>
    <w:next w:val="922"/>
    <w:uiPriority w:val="39"/>
    <w:unhideWhenUsed/>
    <w:pPr>
      <w:ind w:left="1701" w:right="0" w:firstLine="0"/>
      <w:spacing w:after="57"/>
    </w:pPr>
  </w:style>
  <w:style w:type="paragraph" w:styleId="918">
    <w:name w:val="toc 8"/>
    <w:basedOn w:val="922"/>
    <w:next w:val="922"/>
    <w:uiPriority w:val="39"/>
    <w:unhideWhenUsed/>
    <w:pPr>
      <w:ind w:left="1984" w:right="0" w:firstLine="0"/>
      <w:spacing w:after="57"/>
    </w:pPr>
  </w:style>
  <w:style w:type="paragraph" w:styleId="919">
    <w:name w:val="toc 9"/>
    <w:basedOn w:val="922"/>
    <w:next w:val="922"/>
    <w:uiPriority w:val="39"/>
    <w:unhideWhenUsed/>
    <w:pPr>
      <w:ind w:left="2268" w:right="0" w:firstLine="0"/>
      <w:spacing w:after="57"/>
    </w:pPr>
  </w:style>
  <w:style w:type="paragraph" w:styleId="920">
    <w:name w:val="TOC Heading"/>
    <w:uiPriority w:val="39"/>
    <w:unhideWhenUsed/>
  </w:style>
  <w:style w:type="paragraph" w:styleId="921">
    <w:name w:val="table of figures"/>
    <w:basedOn w:val="922"/>
    <w:next w:val="922"/>
    <w:uiPriority w:val="99"/>
    <w:unhideWhenUsed/>
    <w:pPr>
      <w:spacing w:after="0" w:afterAutospacing="0"/>
    </w:pPr>
  </w:style>
  <w:style w:type="paragraph" w:styleId="922" w:default="1">
    <w:name w:val="Normal"/>
    <w:qFormat/>
  </w:style>
  <w:style w:type="paragraph" w:styleId="923">
    <w:name w:val="Heading 1"/>
    <w:basedOn w:val="922"/>
    <w:next w:val="922"/>
    <w:uiPriority w:val="9"/>
    <w:qFormat/>
    <w:pPr>
      <w:keepLines/>
      <w:keepNext/>
      <w:spacing w:before="480" w:after="120"/>
      <w:outlineLvl w:val="0"/>
    </w:pPr>
    <w:rPr>
      <w:b/>
      <w:bCs/>
      <w:sz w:val="48"/>
      <w:szCs w:val="48"/>
    </w:rPr>
  </w:style>
  <w:style w:type="paragraph" w:styleId="924">
    <w:name w:val="Heading 2"/>
    <w:basedOn w:val="922"/>
    <w:next w:val="922"/>
    <w:uiPriority w:val="9"/>
    <w:semiHidden/>
    <w:unhideWhenUsed/>
    <w:qFormat/>
    <w:pPr>
      <w:keepLines/>
      <w:keepNext/>
      <w:spacing w:before="360" w:after="80"/>
      <w:outlineLvl w:val="1"/>
    </w:pPr>
    <w:rPr>
      <w:b/>
      <w:bCs/>
      <w:sz w:val="36"/>
      <w:szCs w:val="36"/>
    </w:rPr>
  </w:style>
  <w:style w:type="paragraph" w:styleId="925">
    <w:name w:val="Heading 3"/>
    <w:basedOn w:val="922"/>
    <w:next w:val="922"/>
    <w:uiPriority w:val="9"/>
    <w:semiHidden/>
    <w:unhideWhenUsed/>
    <w:qFormat/>
    <w:pPr>
      <w:keepLines/>
      <w:keepNext/>
      <w:spacing w:before="280" w:after="80"/>
      <w:outlineLvl w:val="2"/>
    </w:pPr>
    <w:rPr>
      <w:b/>
      <w:bCs/>
      <w:sz w:val="28"/>
      <w:szCs w:val="28"/>
    </w:rPr>
  </w:style>
  <w:style w:type="paragraph" w:styleId="926">
    <w:name w:val="Heading 4"/>
    <w:basedOn w:val="922"/>
    <w:next w:val="922"/>
    <w:uiPriority w:val="9"/>
    <w:semiHidden/>
    <w:unhideWhenUsed/>
    <w:qFormat/>
    <w:pPr>
      <w:keepLines/>
      <w:keepNext/>
      <w:spacing w:before="240" w:after="40"/>
      <w:outlineLvl w:val="3"/>
    </w:pPr>
    <w:rPr>
      <w:b/>
      <w:bCs/>
      <w:sz w:val="24"/>
      <w:szCs w:val="24"/>
    </w:rPr>
  </w:style>
  <w:style w:type="paragraph" w:styleId="927">
    <w:name w:val="Heading 5"/>
    <w:basedOn w:val="922"/>
    <w:next w:val="922"/>
    <w:uiPriority w:val="9"/>
    <w:semiHidden/>
    <w:unhideWhenUsed/>
    <w:qFormat/>
    <w:pPr>
      <w:keepLines/>
      <w:keepNext/>
      <w:spacing w:before="220" w:after="40"/>
      <w:outlineLvl w:val="4"/>
    </w:pPr>
    <w:rPr>
      <w:b/>
      <w:bCs/>
    </w:rPr>
  </w:style>
  <w:style w:type="paragraph" w:styleId="928">
    <w:name w:val="Heading 6"/>
    <w:basedOn w:val="922"/>
    <w:next w:val="922"/>
    <w:uiPriority w:val="9"/>
    <w:semiHidden/>
    <w:unhideWhenUsed/>
    <w:qFormat/>
    <w:pPr>
      <w:keepLines/>
      <w:keepNext/>
      <w:spacing w:before="200" w:after="40"/>
      <w:outlineLvl w:val="5"/>
    </w:pPr>
    <w:rPr>
      <w:b/>
      <w:bCs/>
      <w:sz w:val="20"/>
      <w:szCs w:val="20"/>
    </w:rPr>
  </w:style>
  <w:style w:type="character" w:styleId="929" w:default="1">
    <w:name w:val="Default Paragraph Font"/>
    <w:uiPriority w:val="1"/>
    <w:semiHidden/>
    <w:unhideWhenUsed/>
  </w:style>
  <w:style w:type="table" w:styleId="93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31" w:default="1">
    <w:name w:val="No List"/>
    <w:uiPriority w:val="99"/>
    <w:semiHidden/>
    <w:unhideWhenUsed/>
  </w:style>
  <w:style w:type="table" w:styleId="932" w:customStyle="1">
    <w:name w:val="TableNormal"/>
    <w:tblPr>
      <w:tblCellMar>
        <w:left w:w="100" w:type="dxa"/>
        <w:top w:w="100" w:type="dxa"/>
        <w:right w:w="100" w:type="dxa"/>
        <w:bottom w:w="100" w:type="dxa"/>
      </w:tblCellMar>
    </w:tblPr>
  </w:style>
  <w:style w:type="paragraph" w:styleId="933">
    <w:name w:val="Title"/>
    <w:basedOn w:val="922"/>
    <w:next w:val="922"/>
    <w:uiPriority w:val="10"/>
    <w:qFormat/>
    <w:pPr>
      <w:keepLines/>
      <w:keepNext/>
      <w:spacing w:before="480" w:after="120"/>
    </w:pPr>
    <w:rPr>
      <w:b/>
      <w:bCs/>
      <w:sz w:val="72"/>
      <w:szCs w:val="72"/>
    </w:rPr>
  </w:style>
  <w:style w:type="table" w:styleId="934" w:customStyle="1">
    <w:name w:val="TableNormal"/>
    <w:tblPr>
      <w:tblCellMar>
        <w:left w:w="100" w:type="dxa"/>
        <w:top w:w="100" w:type="dxa"/>
        <w:right w:w="100" w:type="dxa"/>
        <w:bottom w:w="100" w:type="dxa"/>
      </w:tblCellMar>
    </w:tblPr>
  </w:style>
  <w:style w:type="paragraph" w:styleId="935">
    <w:name w:val="List Paragraph"/>
    <w:uiPriority w:val="34"/>
    <w:qFormat/>
    <w:pPr>
      <w:contextualSpacing/>
      <w:ind w:left="720"/>
    </w:pPr>
  </w:style>
  <w:style w:type="paragraph" w:styleId="936">
    <w:name w:val="Header"/>
    <w:link w:val="937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37" w:customStyle="1">
    <w:name w:val="Верхний колонтитул Знак"/>
    <w:basedOn w:val="929"/>
    <w:link w:val="936"/>
    <w:uiPriority w:val="99"/>
  </w:style>
  <w:style w:type="paragraph" w:styleId="938">
    <w:name w:val="Footer"/>
    <w:link w:val="939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39" w:customStyle="1">
    <w:name w:val="Нижний колонтитул Знак"/>
    <w:basedOn w:val="929"/>
    <w:link w:val="938"/>
    <w:uiPriority w:val="99"/>
  </w:style>
  <w:style w:type="character" w:styleId="940">
    <w:name w:val="page number"/>
    <w:basedOn w:val="929"/>
    <w:uiPriority w:val="99"/>
    <w:semiHidden/>
    <w:unhideWhenUsed/>
  </w:style>
  <w:style w:type="paragraph" w:styleId="941" w:customStyle="1">
    <w:name w:val="p1"/>
    <w:pPr>
      <w:spacing w:after="0" w:line="240" w:lineRule="auto"/>
    </w:pPr>
    <w:rPr>
      <w:rFonts w:ascii="Times New Roman" w:hAnsi="Times New Roman" w:eastAsia="Times New Roman" w:cs="Times New Roman"/>
      <w:color w:val="000000"/>
      <w:sz w:val="17"/>
      <w:szCs w:val="17"/>
    </w:rPr>
  </w:style>
  <w:style w:type="character" w:styleId="942">
    <w:name w:val="annotation reference"/>
    <w:basedOn w:val="929"/>
    <w:uiPriority w:val="99"/>
    <w:semiHidden/>
    <w:unhideWhenUsed/>
    <w:rPr>
      <w:sz w:val="16"/>
      <w:szCs w:val="16"/>
    </w:rPr>
  </w:style>
  <w:style w:type="paragraph" w:styleId="943">
    <w:name w:val="annotation text"/>
    <w:link w:val="944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944" w:customStyle="1">
    <w:name w:val="Текст примечания Знак"/>
    <w:basedOn w:val="929"/>
    <w:link w:val="943"/>
    <w:uiPriority w:val="99"/>
    <w:semiHidden/>
    <w:rPr>
      <w:sz w:val="20"/>
      <w:szCs w:val="20"/>
    </w:rPr>
  </w:style>
  <w:style w:type="paragraph" w:styleId="945">
    <w:name w:val="annotation subject"/>
    <w:basedOn w:val="943"/>
    <w:next w:val="943"/>
    <w:link w:val="946"/>
    <w:uiPriority w:val="99"/>
    <w:semiHidden/>
    <w:unhideWhenUsed/>
    <w:rPr>
      <w:b/>
      <w:bCs/>
    </w:rPr>
  </w:style>
  <w:style w:type="character" w:styleId="946" w:customStyle="1">
    <w:name w:val="Тема примечания Знак"/>
    <w:basedOn w:val="944"/>
    <w:link w:val="945"/>
    <w:uiPriority w:val="99"/>
    <w:semiHidden/>
    <w:rPr>
      <w:b/>
      <w:bCs/>
      <w:sz w:val="20"/>
      <w:szCs w:val="20"/>
    </w:rPr>
  </w:style>
  <w:style w:type="paragraph" w:styleId="947">
    <w:name w:val="Subtitle"/>
    <w:basedOn w:val="922"/>
    <w:next w:val="922"/>
    <w:uiPriority w:val="11"/>
    <w:qFormat/>
    <w:pPr>
      <w:keepLines/>
      <w:keepNext/>
      <w:spacing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customXml" Target="../customXml/item1.xml" /><Relationship Id="rId14" Type="http://schemas.openxmlformats.org/officeDocument/2006/relationships/image" Target="media/image2.png"/><Relationship Id="rId15" Type="http://schemas.openxmlformats.org/officeDocument/2006/relationships/image" Target="media/image3.png"/><Relationship Id="rId16" Type="http://schemas.openxmlformats.org/officeDocument/2006/relationships/image" Target="media/image4.png"/><Relationship Id="rId17" Type="http://schemas.openxmlformats.org/officeDocument/2006/relationships/hyperlink" Target="https://bolshayaperemena.online/" TargetMode="External"/><Relationship Id="rId18" Type="http://schemas.openxmlformats.org/officeDocument/2006/relationships/hyperlink" Target="https://bvbinfo.ru/" TargetMode="External"/><Relationship Id="rId19" Type="http://schemas.openxmlformats.org/officeDocument/2006/relationships/hyperlink" Target="https://sochisirius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UmRgHYeLtLJcczQpPPE5v46HxA==">CgMxLjA4AHIhMVJ4aEhrVl96ZTdDWHNtcWpKRHp4UXRLWmFvZnRxZkpy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Центр-ФП</dc:creator>
  <cp:lastModifiedBy>Юлия Лазутина</cp:lastModifiedBy>
  <cp:revision>4</cp:revision>
  <dcterms:created xsi:type="dcterms:W3CDTF">2026-02-06T09:49:00Z</dcterms:created>
  <dcterms:modified xsi:type="dcterms:W3CDTF">2026-04-21T15:15:00Z</dcterms:modified>
</cp:coreProperties>
</file>