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мастер-лекции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«Готов к труду и обороне: проверь, на что ты способен!»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Шарова Варвара Дмитриевна, </w:t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ведущий специалист научно-образовательного центра инновационного развития молодежи </w:t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управления развития науки 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ФГАОУ ВО «Государственный университет просвещения»</w:t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показать, как комплекс ГТО стал частью национальной стратегии развития массового спорта, укрепления здоровья, а также как участие в ГТО раскрывает скрытые навыки и качества граждан.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Рассказать, как и зачем был создан комплекс ГТО, и почему он важен сегодня.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Показать, как государство поддерживает и развивает массовый спорт через национальные проекты.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Объяснить, какие возможности открываются перед школьниками, участвующими в ГТО.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Показать, как современные технологии помогают сделать занятия спортом интереснее и удобнее.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Вовлечь школьников в активное обсуждение и проверку знаний через интерактивные элементы, включая викторину</w:t>
      </w:r>
    </w:p>
    <w:p w:rsidR="00000000" w:rsidDel="00000000" w:rsidP="00000000" w:rsidRDefault="00000000" w:rsidRPr="00000000" w14:paraId="00000021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Формируемые ценности: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жизнь;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служение Отечеству и ответственность за его судьбу.</w:t>
      </w:r>
    </w:p>
    <w:p w:rsidR="00000000" w:rsidDel="00000000" w:rsidP="00000000" w:rsidRDefault="00000000" w:rsidRPr="00000000" w14:paraId="00000025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Смысловые направления: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Укрепление здоровья, популяризация спортивного и здорового образа жизни</w:t>
      </w:r>
    </w:p>
    <w:p w:rsidR="00000000" w:rsidDel="00000000" w:rsidP="00000000" w:rsidRDefault="00000000" w:rsidRPr="00000000" w14:paraId="00000026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 минут</w:t>
      </w:r>
    </w:p>
    <w:p w:rsidR="00000000" w:rsidDel="00000000" w:rsidP="00000000" w:rsidRDefault="00000000" w:rsidRPr="00000000" w14:paraId="0000002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10-11 классов</w:t>
      </w:r>
    </w:p>
    <w:p w:rsidR="00000000" w:rsidDel="00000000" w:rsidP="00000000" w:rsidRDefault="00000000" w:rsidRPr="00000000" w14:paraId="0000002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16+</w:t>
      </w:r>
    </w:p>
    <w:p w:rsidR="00000000" w:rsidDel="00000000" w:rsidP="00000000" w:rsidRDefault="00000000" w:rsidRPr="00000000" w14:paraId="00000029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</w:t>
      </w:r>
    </w:p>
    <w:p w:rsidR="00000000" w:rsidDel="00000000" w:rsidP="00000000" w:rsidRDefault="00000000" w:rsidRPr="00000000" w14:paraId="0000002A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лекция</w:t>
      </w:r>
    </w:p>
    <w:p w:rsidR="00000000" w:rsidDel="00000000" w:rsidP="00000000" w:rsidRDefault="00000000" w:rsidRPr="00000000" w14:paraId="0000002B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сценарий;</w:t>
      </w:r>
    </w:p>
    <w:p w:rsidR="00000000" w:rsidDel="00000000" w:rsidP="00000000" w:rsidRDefault="00000000" w:rsidRPr="00000000" w14:paraId="0000002D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2E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1. Титульный лист</w:t>
      </w:r>
    </w:p>
    <w:p w:rsidR="00000000" w:rsidDel="00000000" w:rsidP="00000000" w:rsidRDefault="00000000" w:rsidRPr="00000000" w14:paraId="00000030">
      <w:pPr>
        <w:spacing w:after="16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сегодня мы подробно поговорим о комплексе ГТО – «Готов к труду и обороне». Давайте сразу отойдём от формальностей и взглянем на это как на практический инструмент. Речь идёт не просто о сдаче нормативов, а в первую очередь о самостоятельной оценке своего физического состояния. Это возможность проверить свою силу, выносливость и гибкость, понять, над чем стоит поработать, чтобы быть в хорошей форме. Давайте разберёмся, какие именно нормативы предусмотрены для вашей возрастной категории и как грамотно подготовиться к их выполнению.</w:t>
      </w:r>
    </w:p>
    <w:p w:rsidR="00000000" w:rsidDel="00000000" w:rsidP="00000000" w:rsidRDefault="00000000" w:rsidRPr="00000000" w14:paraId="0000003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подтверждения вашего участия в лекции, пожалуйста, зарегистрируйтесь по QR-коду:</w:t>
      </w:r>
    </w:p>
    <w:p w:rsidR="00000000" w:rsidDel="00000000" w:rsidP="00000000" w:rsidRDefault="00000000" w:rsidRPr="00000000" w14:paraId="0000003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  <w:tab/>
        <w:t xml:space="preserve">Наведите камеру вашего мобильного телефона на QR-код;</w:t>
      </w:r>
    </w:p>
    <w:p w:rsidR="00000000" w:rsidDel="00000000" w:rsidP="00000000" w:rsidRDefault="00000000" w:rsidRPr="00000000" w14:paraId="0000003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  <w:tab/>
        <w:t xml:space="preserve">Перейдите по ссылке и заполните анкету;</w:t>
      </w:r>
    </w:p>
    <w:p w:rsidR="00000000" w:rsidDel="00000000" w:rsidP="00000000" w:rsidRDefault="00000000" w:rsidRPr="00000000" w14:paraId="0000003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  <w:tab/>
        <w:t xml:space="preserve">Если у вас возникли трудности со сканированием, сообщите мне.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</w:t>
      </w:r>
    </w:p>
    <w:p w:rsidR="00000000" w:rsidDel="00000000" w:rsidP="00000000" w:rsidRDefault="00000000" w:rsidRPr="00000000" w14:paraId="0000003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2013 году президент РФ Владимир Путин предложил возобновить в России в новом формате физкультурный комплекс «Готов к труду и обороне» (ГТО).  В советское время ГТО представлял собой государственную систему программно‑оценочных нормативов и требований по физическому развитию, направленных на подготовку различных возрастных групп населения к высокопроизводительному труду и защите Родины.</w:t>
      </w:r>
    </w:p>
    <w:p w:rsidR="00000000" w:rsidDel="00000000" w:rsidP="00000000" w:rsidRDefault="00000000" w:rsidRPr="00000000" w14:paraId="0000003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Президент отметил: «Думаю, что вполне уместно вспомнить позитивный опыт прошлых лет, когда в нашей стране действовал так называемый комплекс ГТО, его нормативы сдавали люди разных возрастов, это был реально работающий механизм. В значительной степени он затерся, но он работал… Эту систему нужно возродить».</w:t>
      </w:r>
    </w:p>
    <w:p w:rsidR="00000000" w:rsidDel="00000000" w:rsidP="00000000" w:rsidRDefault="00000000" w:rsidRPr="00000000" w14:paraId="0000003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849923" cy="19050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Почему Президент уделил внимание созданию комплекса ГТО?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Предполагалось увеличить число граждан страны, систематически занимающихся физкультурой, и сформировать у населения потребность вести здоровый образ жизни. Комплекс должен был дать толчок развитию детского, школьного и студенческого спорта, а также увеличить количество спортклубов и физкультурных организаций. Для старшеклассников одним из стимулов получить значок ГТО стала возможность получить дополнительные баллы при поступлении в вуз. Для взрослого населения предусматривались поощрительные надбавки или дни отпуска.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. СССР: Новый человек</w:t>
      </w:r>
    </w:p>
    <w:p w:rsidR="00000000" w:rsidDel="00000000" w:rsidP="00000000" w:rsidRDefault="00000000" w:rsidRPr="00000000" w14:paraId="00000042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революции 1917 года перед страной стояла важная задача — создать единую государственную систему физического воспитания, которая охватила бы всё население. </w:t>
      </w:r>
    </w:p>
    <w:p w:rsidR="00000000" w:rsidDel="00000000" w:rsidP="00000000" w:rsidRDefault="00000000" w:rsidRPr="00000000" w14:paraId="00000043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Хотя интерес к спорту в России наметился еще в конце XIX века, поистине массовый характер он приобрел исключительно благодаря усилиям руководства СССР. Отправной точкой стало введение в 1918 году системы Всеобщего военного обучения (Всеобуч), призванной укрепить здоровье и выносливость граждан, способных к продуктивному труду и обороне государства.</w:t>
      </w:r>
    </w:p>
    <w:p w:rsidR="00000000" w:rsidDel="00000000" w:rsidP="00000000" w:rsidRDefault="00000000" w:rsidRPr="00000000" w14:paraId="00000044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Знаковым событием, продемонстрировавшим успех этой политики, стал первый парад физкультурников на Красной площади в 1919 году, который посетил лидер молодой республики В.И. Ленин. С этого момента приобщение к физической культуре всех возрастных групп стало задачей государственной важности, что выразилось в активном строительстве публичных спортплощадок и организации секций при образовательных учреждениях.</w:t>
      </w:r>
    </w:p>
    <w:p w:rsidR="00000000" w:rsidDel="00000000" w:rsidP="00000000" w:rsidRDefault="00000000" w:rsidRPr="00000000" w14:paraId="00000045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Становление спортивного движения продолжилось в 1920-х годах с созданием первых объединений, среди которых выделялось общество «Динамо». Апогеем развития стал 1928 год, когда была проведена первая Всесоюзная спартакиада — амбициозный проект, альтернативный Олимпиаде. Ее торжественное открытие состоялось на главной площади Кремля, а в соревнованиях приняли участие более 7000 человек, в том числе и зарубежные спортсмены. В дальнейшем практика проведения спартакиад различного уровня (городских, ведомственных, школьных) получила повсеместное распространение.</w:t>
      </w:r>
    </w:p>
    <w:p w:rsidR="00000000" w:rsidDel="00000000" w:rsidP="00000000" w:rsidRDefault="00000000" w:rsidRPr="00000000" w14:paraId="00000046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Физическая культура была интегрирована в обязательную программу вузов, а в 1931 году универсальным стандартом стал комплекс «Готов к труду и обороне» (ГТО), содержавший нормативы по различным дисциплинам, от легкой атлетики до стрельбы из лука, для граждан всех возрастов.</w:t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Комплекс ГТО стал уникальным отечественным проектом, призванным сделать физическую культуру достоянием всех граждан. В 1930-е годы сформировалась особая терминология, отражавшая новые подходы: вместо «спортсмен» — «физкультурник», вместо «спорт» — «физическая культура». Это подчеркивало массовый, оздоровительный и прикладной характер движения.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Создание комплекса ГТО в СССР</w:t>
      </w:r>
    </w:p>
    <w:p w:rsidR="00000000" w:rsidDel="00000000" w:rsidP="00000000" w:rsidRDefault="00000000" w:rsidRPr="00000000" w14:paraId="0000004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1918 года в СССР стало обязательным обучение военному делу по месту работы для мужчин и женщин от 18 до 40 лет. В 1927 году для этой цели было создано массовое общество ОСОАВИАХИМ. В 1931 году по инициативе комсомола был утвержден комплекс ГТО («Готов к труду и обороне»), ставший нормативной основой системы физического воспитания. В физкультурном комплексе были установлены единые нормы и требования к испытаниям, позволяющие оценить физическую подготовку молодежи. За соблюдение этих норм предлагалось выдавать значок «Готов к труду и обороне». Инициатива получила широкое одобрение общественности, и по поручению Всесоюзного совета физической культуры при ЦИК СССР был разработан сам комплекс. Первая редакция норм ГТО была опубликована 11 марта 1931 года; после общественного обсуждения она была утверждена и стала нормативной основой системы физического воспитания во всей стране. Комплекс  включал в себя 15 практических испытаний военно-прикладного и спортивного характера. В 1932 году добавилась вторая, более сложная ступень с 21 испытанием.</w:t>
      </w:r>
    </w:p>
    <w:p w:rsidR="00000000" w:rsidDel="00000000" w:rsidP="00000000" w:rsidRDefault="00000000" w:rsidRPr="00000000" w14:paraId="0000004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Комплекс ГТО быстро развивался: в 1934 году для школьников ввели ступень БГТО («Будь готов к труду и обороне»). Он стал основой для создания системы спортивных званий и разрядов. Перед Великой Отечественной войной до 80% военнослужащих прошли подготовку в ОСОАВИАХИМ, а миллионы граждан получили важные военные навыки через сдачу норм ГТО.</w:t>
      </w:r>
    </w:p>
    <w:p w:rsidR="00000000" w:rsidDel="00000000" w:rsidP="00000000" w:rsidRDefault="00000000" w:rsidRPr="00000000" w14:paraId="0000004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войны комплекс был реформирован. В 1965 году для армии создали «Военно-спортивный комплекс», а для призывников с 1966 года — ступень ГЗР («Готов к защите Родины»). В 1972 году был введен новый всесоюзный комплекс ГТО с пятью возрастными ступенями, охватывавший граждан от 10 до 60 лет. В 1975 году в масс-стартах участвовали 37 миллионов человек.</w:t>
      </w:r>
    </w:p>
    <w:p w:rsidR="00000000" w:rsidDel="00000000" w:rsidP="00000000" w:rsidRDefault="00000000" w:rsidRPr="00000000" w14:paraId="0000004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Несмотря на то, что комплекс ГТО формально не был упразднён, после распада СССР в 1991 году он фактически утратил своё действие.</w:t>
      </w:r>
    </w:p>
    <w:p w:rsidR="00000000" w:rsidDel="00000000" w:rsidP="00000000" w:rsidRDefault="00000000" w:rsidRPr="00000000" w14:paraId="0000004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Возрождение комплекса</w:t>
      </w:r>
    </w:p>
    <w:p w:rsidR="00000000" w:rsidDel="00000000" w:rsidP="00000000" w:rsidRDefault="00000000" w:rsidRPr="00000000" w14:paraId="0000005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Безусловно, спорт в России не прекратил своего существования после 1991 года — продолжали работать секции, функционировали стадионы, стали популярны новые спортивные дисциплины. Однако в тот период развитие физической культуры и спорта носило во многом неравномерный характер и зачастую держалось на личной инициативе и энтузиазме тренеров. В результате, число граждан, регулярно занимавшихся физкультурой, заметно сократилось.</w:t>
      </w:r>
    </w:p>
    <w:p w:rsidR="00000000" w:rsidDel="00000000" w:rsidP="00000000" w:rsidRDefault="00000000" w:rsidRPr="00000000" w14:paraId="0000005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2004 году был проведён масштабный эксперимент с участием 6000 юношей и девушек, целью которого стала оценка уровня физической подготовки молодого поколения на основе нормативов советского комплекса ГТО. Результаты оказались тревожными: лишь 9% участников смогли успешно выполнить предложенные испытания. Это наглядно показало необходимость системных мер по оздоровлению нации.</w:t>
      </w:r>
    </w:p>
    <w:p w:rsidR="00000000" w:rsidDel="00000000" w:rsidP="00000000" w:rsidRDefault="00000000" w:rsidRPr="00000000" w14:paraId="0000005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Уже в начале 2010-х годов, на фоне позитивных изменений в экономике, в стране возродился интерес к спорту, стали строиться современные объекты, создаваться условия для массовых занятий. Для координации этих усилий потребовалась единая программа. В её основу лег обновлённый комплекс ГТО, в котором были сохранены лучшие традиции прошлого и учтены требования современности.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849923" cy="19050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Зачем был создан комплекс ГТО в СССР?</w:t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Достичь максим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ального уровня физической подготовки граждан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: ГТО в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ГТО в современной России дан старт 1 сентября 2014 года, а уже с 2018 года комплекс заработал в полную силу, для всех возрастных групп.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Каждый год около 3 миллионов человек проходят комплекс, а всего за 11 лет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олее 22 млн поучаствовали в ГТО.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2021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Ступень комплекса ГТО — элемент структуры комплекса ГТО согласно возрастным группам, для которых предусмотрено выполнение нормативов испытаний (тестов) комплекса ГТО различного уровня сложности.</w:t>
      </w:r>
    </w:p>
    <w:p w:rsidR="00000000" w:rsidDel="00000000" w:rsidP="00000000" w:rsidRDefault="00000000" w:rsidRPr="00000000" w14:paraId="0000005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Комплекс ГТО содержит 18 ступеней. Нормы могут сдавать граждане от 6 лет. Верхнего возрастного предела 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Поощрение для граждан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Школьники, сдавшие нормы в 10 или 11 классе получают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дополнительные баллы при поступлении в вуз.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значок ГТО вузы дают минимум 2 балла. В пункте 35 «Порядка приема в вузы» говорится: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Организация высшего образования может начислить поступающему не менее 2 баллов за индивидуальное достижение, указанное в подпункте 3 пункта 33 Порядка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3">
      <w:pPr>
        <w:shd w:fill="ffffff" w:val="clear"/>
        <w:spacing w:after="21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Сколько баллов точно можно получить за значок ГТО — это каждый вуз уже решает сам. Некоторые начисляют за любой значок ГТО 2 балла, а другие ранжируют. Например: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hd w:fill="ffffff" w:val="clear"/>
        <w:spacing w:before="28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 балла за бронзовый значок ГТО,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 балла за серебряный значок ГТО,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hd w:fill="ffffff" w:val="clear"/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 баллов за золотой значок ГТО.</w:t>
      </w:r>
    </w:p>
    <w:p w:rsidR="00000000" w:rsidDel="00000000" w:rsidP="00000000" w:rsidRDefault="00000000" w:rsidRPr="00000000" w14:paraId="00000067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 пусть эта цифра кажется не такой большой, часто именно 1-2 балла являются решающими.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Кроме того, некоторые вузы назначают повышенную стипендию обладателям золотого значка ГТО.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Что касается взрослых, то с 1 января 2025 года, за выполнения норматива ГТО полагается налоговый вычет до 18000.</w:t>
      </w:r>
    </w:p>
    <w:p w:rsidR="00000000" w:rsidDel="00000000" w:rsidP="00000000" w:rsidRDefault="00000000" w:rsidRPr="00000000" w14:paraId="00000069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9-10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Нацпроект «Спорт России»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Инфраструктура для занятия спортом была устаревшая, во многих городах были закрыты старые бассейны и тиры, подготовиться к сдаче ГТО было трудно. Необходим был системный подход к развитию инфраструктуры.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этих целей существует нацпроект «Спорт России». Так, с 2019 года возвели почти 500 спортивных объектов, а также 220 «умных» спортивных площадок. «Умные» спортивные площадки — это зоны для занятий спортом, оснащённые современным оборудованием с QR-кодами и подключением к интернету. Такие площадки решают проблему начинающих спортсменов — отсутствие знаний о последовательной технике выполнения упражнений на уличных тренажёрах. Теперь темпы развития этой сети современных площадок ускоряются: если за первый период было построено 220 объектов, то в грядущий период планируется возвести более 600, что более чем в два раза больше. С 2025 по 2027 год также планируется построить 115 «капитальных объектов спорта», 1078 «малых» и 86 модульных объектов.</w:t>
      </w:r>
    </w:p>
    <w:p w:rsidR="00000000" w:rsidDel="00000000" w:rsidP="00000000" w:rsidRDefault="00000000" w:rsidRPr="00000000" w14:paraId="0000006D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Спортивная площадка в каждом районе открывает возможности бесплатно и качественно заниматься физкультурой вместе с друзьями.</w:t>
      </w:r>
    </w:p>
    <w:p w:rsidR="00000000" w:rsidDel="00000000" w:rsidP="00000000" w:rsidRDefault="00000000" w:rsidRPr="00000000" w14:paraId="0000006E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849923" cy="1905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Посещаете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 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площадку для тренировок у школы/дома?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Парки и прогулки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 же заниматься физической культурой и спортом нашим родителям и бабушкам с дедушками? На помощь приходит федеральный проект «Формирование комфортной городской среды». Благодаря нему облагораживаются парки, набережные, обустраиваются новые прогулочные маршруты. Таким образом, люди получают возможность заниматься активностями, а не сидеть дома. </w:t>
      </w:r>
    </w:p>
    <w:p w:rsidR="00000000" w:rsidDel="00000000" w:rsidP="00000000" w:rsidRDefault="00000000" w:rsidRPr="00000000" w14:paraId="00000074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 Здоровье</w:t>
      </w:r>
    </w:p>
    <w:p w:rsidR="00000000" w:rsidDel="00000000" w:rsidP="00000000" w:rsidRDefault="00000000" w:rsidRPr="00000000" w14:paraId="0000007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Не стоит забывать, что бок о бок со спортом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идёт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другая важная составляющая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забота о здоровье.  Нацпроект «Продолжительная и активная жизнь» как раз дает возможность людям следить за своим здоровьем. Одна из важных вещей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диспансеризация.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Диспансеризация — расширенная версия профосмотра. В частности в нее включены дополнительные скрининги, направленные, например, на выявление злокачественных новообразований шейки матки, молочных желез или предстательной железы. Людям до 39 лет включительно диспансеризацию необходимо проходить раз в три года, а по достижении 40 лет — ежегодно.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Важно знать, что для прохождения диспансеризации работодателя обязуют выделить сотруднику один рабочий день. Кроме того, обследование можно пройти не только в рабочее время, но и вечером, а также по субботам.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Диспансеризация позволяет на раннем этапе обнаружить опасные заболевания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что повышает эффективность 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лечени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Кроме того, в рамках нацпроекта строятся новы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е больницы, поликлиники, развивается система экстренной медпомощи.</w:t>
      </w:r>
    </w:p>
    <w:p w:rsidR="00000000" w:rsidDel="00000000" w:rsidP="00000000" w:rsidRDefault="00000000" w:rsidRPr="00000000" w14:paraId="0000007A">
      <w:pP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762000" cy="187325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8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line="36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из перечисленных суждений верны?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Комплекс ГТО был разработан еще до революции.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совр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еме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нном России комплекс ГТО возрожден в 2014 году.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Сдавать нормы ГТО могут только школьники.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практически нет спортивных площадок.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Диспансе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риз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ацию можно пройти бесплатно.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Комплекс ГТ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фактически перестал действовать после распада СССР.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Пенсионеры не участвуют в ГТО.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омимо спортплощадок активно создаются парковые и прогулочные зоны.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Варианты ответов: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А)1, 8, 5, 3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3,7,5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2, 5, 6, 8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4, 2, 8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Ответ: В) 2,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15: 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Итак, дорогие ребята, мы с вами совершили экскурс в историю и поговорили о современном состоянии комплекса ГТО. Этот проект — гораздо больше, чем просто сдача нормативов. Это ваша личная победа над собой, крепкое здоровье, отличное настроение и реальные возможности для будущего, будь то дополнительные баллы при поступлении или признание ваших достижений. Комплекс ГТО объединяет разные поколения и создает среду, где каждый может найти свой спортивный путь. Я очень надеюсь, что наш сегодняшний разговор вдохновит вас на новые свершения, и, возможно, вы даже решитесь испытать свои силы. 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Ваше мнение о сегодняшней лекции очень важно для меня. Пожалуйста, отсканируйте QR-код на экране — это займет буквально минуту — и поделитесь своими мыслями. Ваши отзывы помогут сделать наши будущие встречи еще интереснее.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Список источников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https://национальныепроекты.рф/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(дата обращения: 13.08.2025)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https://aif.ru/society/history/telo_v_obshchee_delo_zachem_v_sssr_pridumali_parady_fizkulturnikov?from_inject=1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(дата обращения: 13.08.2025)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https://www.gto.ru/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(Дата обращения: 13.08.2025)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Володина Алена Анатольевна Актуальность ГТО в России, проблемы проведения ГТО и их решение // Материалы Всероссийской научно-практической конференции «Наука и социум». 2019. №11-2. URL: https://cyberleninka.ru/article/n/aktualnost-gto-v-rossii-problemy-provedeniya-gto-i-ih-reshenie (дата обращения: 13.08.2025).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Золотухина Кристина Игоревна, Кильметова Ильнара Ирековна, Ляшенко Анна Александровна Возрождение ГТО // Бюллетень науки и практики. 2018. №1. URL: https://cyberleninka.ru/article/n/vozrozhdenie-gto (дата обращения: 13.08.2025).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Иванов О. Н., Титенёва М. А. Гто: прошлое и настоящее // Вестник ЮГУ. 2016. №1 (40). URL: https://cyberleninka.ru/article/n/gto-proshloe-i-nastoyaschee (дата обращения: 13.08.2025).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hd w:fill="ffffff" w:val="clear"/>
        <w:spacing w:after="24" w:line="360" w:lineRule="auto"/>
        <w:ind w:left="720" w:hanging="360"/>
        <w:jc w:val="both"/>
        <w:rPr>
          <w:rFonts w:ascii="Times New Roman" w:cs="Times New Roman" w:eastAsia="Times New Roman" w:hAnsi="Times New Roman"/>
          <w:color w:val="2021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Лазарев С. Е., 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rtl w:val="0"/>
        </w:rPr>
        <w:t xml:space="preserve">Советское законодательство 1930-х годов о физкультуре и спорте и его актуальность в наши дни // Гражданин и право. 2016. № 9. С. 3—8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Лейбовский Александр Юрьевич, Иванова Наталья Геннадьевна, Козыренко Елена Анатольевна, Якимова Людмила Александровна Комплекс ГТО в российских вузах // Педагогико-психологические и медико-биологические проблемы физической культуры и спорта. 2025. №1. URL: https://cyberleninka.ru/article/n/kompleks-gto-v-rossiyskih-vuzah (дата обращения: 13.08.2025).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Калинина А. М., Кушунина Д. В., Горный Б. Э., Антонов К. А., Бетяева О. В., Соколов Г. Е. Потенциал профилактики сердечно-сосудистых заболеваний по результатам диспансеризации взрослого населения // КВТиП. 2019. №4. URL: https://cyberleninka.ru/article/n/potentsial-profilaktiki-serdechno-sosudistyh-zabolevaniy-po-rezultatam-dispanserizatsii-vzroslogo-naseleniya (дата обращения: 13.08.2025).</w:t>
      </w:r>
    </w:p>
    <w:p w:rsidR="00000000" w:rsidDel="00000000" w:rsidP="00000000" w:rsidRDefault="00000000" w:rsidRPr="00000000" w14:paraId="0000009E">
      <w:pPr>
        <w:spacing w:after="200" w:before="20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tabs>
        <w:tab w:val="center" w:leader="none" w:pos="4677"/>
        <w:tab w:val="right" w:leader="none" w:pos="9355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84555" cy="508406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4555" cy="5084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annotation reference"/>
    <w:basedOn w:val="a0"/>
    <w:uiPriority w:val="99"/>
    <w:semiHidden w:val="1"/>
    <w:unhideWhenUsed w:val="1"/>
    <w:rsid w:val="00E715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 w:val="1"/>
    <w:unhideWhenUsed w:val="1"/>
    <w:rsid w:val="00E7154E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sid w:val="00E715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 w:val="1"/>
    <w:unhideWhenUsed w:val="1"/>
    <w:rsid w:val="00E7154E"/>
    <w:rPr>
      <w:b w:val="1"/>
      <w:bCs w:val="1"/>
    </w:rPr>
  </w:style>
  <w:style w:type="character" w:styleId="a8" w:customStyle="1">
    <w:name w:val="Тема примечания Знак"/>
    <w:basedOn w:val="a6"/>
    <w:link w:val="a7"/>
    <w:uiPriority w:val="99"/>
    <w:semiHidden w:val="1"/>
    <w:rsid w:val="00E7154E"/>
    <w:rPr>
      <w:b w:val="1"/>
      <w:bCs w:val="1"/>
      <w:sz w:val="20"/>
      <w:szCs w:val="20"/>
    </w:rPr>
  </w:style>
  <w:style w:type="character" w:styleId="a9">
    <w:name w:val="Hyperlink"/>
    <w:basedOn w:val="a0"/>
    <w:uiPriority w:val="99"/>
    <w:unhideWhenUsed w:val="1"/>
    <w:rsid w:val="00853B2A"/>
    <w:rPr>
      <w:color w:val="0000ff"/>
      <w:u w:val="single"/>
    </w:rPr>
  </w:style>
  <w:style w:type="character" w:styleId="cite-bracket" w:customStyle="1">
    <w:name w:val="cite-bracket"/>
    <w:basedOn w:val="a0"/>
    <w:rsid w:val="00853B2A"/>
  </w:style>
  <w:style w:type="paragraph" w:styleId="aa">
    <w:name w:val="Normal (Web)"/>
    <w:basedOn w:val="a"/>
    <w:uiPriority w:val="99"/>
    <w:semiHidden w:val="1"/>
    <w:unhideWhenUsed w:val="1"/>
    <w:rsid w:val="00853B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character" w:styleId="ab">
    <w:name w:val="Emphasis"/>
    <w:basedOn w:val="a0"/>
    <w:uiPriority w:val="20"/>
    <w:qFormat w:val="1"/>
    <w:rsid w:val="00853B2A"/>
    <w:rPr>
      <w:i w:val="1"/>
      <w:iCs w:val="1"/>
    </w:rPr>
  </w:style>
  <w:style w:type="paragraph" w:styleId="ac">
    <w:name w:val="List Paragraph"/>
    <w:basedOn w:val="a"/>
    <w:uiPriority w:val="34"/>
    <w:qFormat w:val="1"/>
    <w:rsid w:val="00853B2A"/>
    <w:pPr>
      <w:ind w:left="720"/>
      <w:contextualSpacing w:val="1"/>
    </w:pPr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to.ru/" TargetMode="External"/><Relationship Id="rId10" Type="http://schemas.openxmlformats.org/officeDocument/2006/relationships/hyperlink" Target="https://aif.ru/society/history/telo_v_obshchee_delo_zachem_v_sssr_pridumali_parady_fizkulturnikov?from_inject=1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mFvFWb6PXzD6Xo75ZtZ7D8mXkQ==">CgMxLjA4AHIhMW5FVFNEOUFZeDVUTzFkeFRUbFNmVTNnSFRrN0ZjZFo5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2025-08-13T18:23:00Z</dcterms:created>
  <dc:creator>Егорова Анастасия Серафимовна</dc:creator>
</cp:coreProperties>
</file>