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keepLines/>
        <w:keepNext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keepLines/>
        <w:keepNext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keepLines/>
        <w:keepNext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keepLines/>
        <w:keepNext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keepLines/>
        <w:keepNext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keepLines/>
        <w:keepNext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keepLines/>
        <w:keepNext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keepLines/>
        <w:keepNext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keepLines/>
        <w:keepNext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 мастер-лекции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keepLines/>
        <w:keepNext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bookmarkStart w:id="0" w:name="_heading=h.s09jzkffqcrb"/>
      <w:r/>
      <w:bookmarkEnd w:id="0"/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«Правила безопасности в киберпространстве»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right"/>
        <w:spacing w:after="0" w:line="360" w:lineRule="auto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r/>
    </w:p>
    <w:p>
      <w:pPr>
        <w:ind w:firstLine="709"/>
        <w:jc w:val="right"/>
        <w:spacing w:after="0" w:line="360" w:lineRule="auto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r/>
    </w:p>
    <w:p>
      <w:pPr>
        <w:ind w:firstLine="709"/>
        <w:jc w:val="right"/>
        <w:spacing w:after="0" w:line="360" w:lineRule="auto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r/>
    </w:p>
    <w:p>
      <w:pPr>
        <w:ind w:firstLine="709"/>
        <w:jc w:val="right"/>
        <w:spacing w:after="0" w:line="360" w:lineRule="auto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r/>
    </w:p>
    <w:p>
      <w:pPr>
        <w:ind w:firstLine="709"/>
        <w:jc w:val="right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t xml:space="preserve">   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Авраменко Евгения Вячеславовна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Специалист по информационной работе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АНО </w:t>
      </w:r>
      <w:r>
        <w:rPr>
          <w:rFonts w:ascii="Arial" w:hAnsi="Arial" w:eastAsia="SimSun" w:cs="Arial"/>
          <w:i w:val="0"/>
          <w:iCs w:val="0"/>
          <w:color w:val="000000"/>
          <w:sz w:val="22"/>
          <w:szCs w:val="22"/>
          <w:u w:val="none"/>
          <w:vertAlign w:val="baselin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Диалог Регионы</w:t>
      </w:r>
      <w:r>
        <w:rPr>
          <w:rFonts w:ascii="Arial" w:hAnsi="Arial" w:eastAsia="SimSun" w:cs="Arial"/>
          <w:i w:val="0"/>
          <w:iCs w:val="0"/>
          <w:color w:val="000000"/>
          <w:sz w:val="22"/>
          <w:szCs w:val="22"/>
          <w:u w:val="none"/>
          <w:vertAlign w:val="baseline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Москва, 2025 г.</w:t>
      </w:r>
      <w:r>
        <w:rPr>
          <w:rFonts w:ascii="Times New Roman" w:hAnsi="Times New Roman" w:eastAsia="Times New Roman" w:cs="Times New Roman"/>
          <w:color w:val="000000"/>
          <w:sz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Цель лекции: </w:t>
      </w:r>
      <w:r>
        <w:rPr>
          <w:rFonts w:ascii="Times New Roman" w:hAnsi="Times New Roman" w:eastAsia="Times New Roman" w:cs="Times New Roman"/>
          <w:color w:val="242525"/>
          <w:sz w:val="28"/>
          <w:szCs w:val="28"/>
        </w:rPr>
        <w:t xml:space="preserve">объяснить каждому госслужащему, почему важно заботиться о кибербезопасности и защите данных своей организации; научить простым правилам, которые помогут защитить себя и свою организацию от киберугроз.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Объяснить, что такое кибербезопасность и почему она важна для каждого.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Рассказать, с какими опасностями можно столкнуться в интернете на работе.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Продемонстрировать простой набор действий на рабочем месте, которые помогут снизить риск киберугроз.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Объяснить, как правильно действовать при подозрении на утечку данных или по факту ее выявления.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Проинформировать об уровне уголовной ответственности сотрудников за утечку данных или их потерю.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Объяснить, что каждый сотрудник играет важную роль в общей защите данных организации.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Формируемые ценности: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20c22"/>
          <w:sz w:val="28"/>
          <w:szCs w:val="28"/>
          <w:shd w:val="clear" w:color="auto" w:fill="fefef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20c22"/>
          <w:sz w:val="28"/>
          <w:szCs w:val="28"/>
          <w:shd w:val="clear" w:color="auto" w:fill="fefefe"/>
        </w:rPr>
        <w:t xml:space="preserve">созидательный труд; </w:t>
      </w:r>
      <w:r>
        <w:rPr>
          <w:rFonts w:ascii="Times New Roman" w:hAnsi="Times New Roman" w:eastAsia="Times New Roman" w:cs="Times New Roman"/>
          <w:color w:val="020c22"/>
          <w:sz w:val="28"/>
          <w:szCs w:val="28"/>
          <w:shd w:val="clear" w:color="auto" w:fill="fefefe"/>
        </w:rPr>
      </w:r>
    </w:p>
    <w:p>
      <w:pPr>
        <w:numPr>
          <w:ilvl w:val="0"/>
          <w:numId w:val="2"/>
        </w:num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20c22"/>
          <w:sz w:val="28"/>
          <w:szCs w:val="28"/>
          <w:shd w:val="clear" w:color="auto" w:fill="fefef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20c22"/>
          <w:sz w:val="28"/>
          <w:szCs w:val="28"/>
          <w:shd w:val="clear" w:color="auto" w:fill="fefefe"/>
        </w:rPr>
        <w:t xml:space="preserve">гражданственность; </w:t>
      </w:r>
      <w:r>
        <w:rPr>
          <w:rFonts w:ascii="Times New Roman" w:hAnsi="Times New Roman" w:eastAsia="Times New Roman" w:cs="Times New Roman"/>
          <w:color w:val="020c22"/>
          <w:sz w:val="28"/>
          <w:szCs w:val="28"/>
          <w:shd w:val="clear" w:color="auto" w:fill="fefefe"/>
        </w:rPr>
      </w:r>
    </w:p>
    <w:p>
      <w:pPr>
        <w:numPr>
          <w:ilvl w:val="0"/>
          <w:numId w:val="2"/>
        </w:num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20c22"/>
          <w:sz w:val="28"/>
          <w:szCs w:val="28"/>
          <w:shd w:val="clear" w:color="auto" w:fill="fefef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20c22"/>
          <w:sz w:val="28"/>
          <w:szCs w:val="28"/>
          <w:shd w:val="clear" w:color="auto" w:fill="fefefe"/>
        </w:rPr>
        <w:t xml:space="preserve">взаимопомощь и взаимоуважение.</w:t>
      </w:r>
      <w:r>
        <w:rPr>
          <w:rFonts w:ascii="Times New Roman" w:hAnsi="Times New Roman" w:eastAsia="Times New Roman" w:cs="Times New Roman"/>
          <w:color w:val="020c22"/>
          <w:sz w:val="28"/>
          <w:szCs w:val="28"/>
          <w:shd w:val="clear" w:color="auto" w:fill="fefefe"/>
        </w:rPr>
      </w:r>
    </w:p>
    <w:p>
      <w:pPr>
        <w:ind w:left="720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Смысловые направления: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кибербезопасность и кибербуллинг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Продолжительность лекции: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50 минут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Целевая аудитория: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госслужащие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Возрастное ограничение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18+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Рекомендуемая форма выступления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интерактивная лекция, дискуссия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Тип ММ: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лекция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Комплект материалов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сценарий;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презентация.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hd w:val="nil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284"/>
        <w:jc w:val="center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Вступительное слово про безопасность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Несмотря на то, что тема нашей сегодняшней встречи посвящена [название лекции], прежде чем мы перейдём к основной части, хочу обратить ваше внимание на вопрос, который касается каждого из нас, независимо от возраста и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телефонное и интернет-мошенничество остаётся одной из самых серьёзных угроз в цифровой среде. По данным МВД России, за 2025 год зафиксировало 663 тыс. преступлений, совершённых с использованием информационно-телекоммуникационных технологий, а ущерб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гражданам исчисляется десятками миллиардов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этом злоумышленники всё чаще пытаются не только похитить деньги или персональные данные, но и вовлечь людей в противоправные действия, последствия которых могут привести к административной или уголовной ответственности.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поэтому вопросам противодействия мошенничеству сегодня уделяется особое внимание. Предлагаю посмотреть небольшой видеоролик, основанный на реальных историях людей, столкнувшихся с подобными ситуациями.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Комментарий лектору: Необходимо включить видео в презентации с рассказом пострадавшего — того, кто столкнулся с действиями мошенников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После просмотра ролика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 только что увидели реальные истории людей, которые столкнулись с мошенниками и интернет-вербовщиками. Все они были уверены, что с ними такого не случится... Многие из них считали, что выполняют обычную просьбу, помогают кому-то решить проблему или соглаш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аются на безобидную подработку.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егодня мошенники используют не только телефонные звонки. Они пишут в социальных сетях и мессенджерах, знакомятся в интернете, предлагают лёгкий заработок, связываются от имени банков, государственных органов, операторов связи, работодателей или знакомых 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дей, чьи аккаунты были взломаны.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целью злоумышленников могут быть не только деньги или персональные данные.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Всё чаще людей пытаются вовлечь в противоправные действия. Причём начинается это, как правило, с просьб, которые выглядят совершенно безобидно.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человеку предлагают: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передать пакет или посылку за вознаграждение;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перевести деньги на указанный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оформить банковскую карту и передать её другому человеку;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предоставить доступ к аккаунту в социальных сетях или мессенджерах;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зарегистрировать на своё имя сим-карту, электронный кошелёк или банковский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сфотографировать определённый объект или собрать информацию о нём;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оставить у себя на хранение неизвестные предметы;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выполнить поручение, смысл которого ему до конца не объясняют.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первый взгляд такие действия могут показаться незначительными. Однако человек далеко не всегда знает, как именно будут использованы его помощь, документы, банковская карта или аккаунт.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ерез чужие карты и счета могут проходить деньги, похищенные у граждан. Аккаунты могут использоваться для обмана других людей. Переданные предметы могут оказаться запрещёнными или использоваться для совершения преступлений. Сбор информации об объектах инфра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структуры может представлять угрозу безопасности людей и государства.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езнание закона не освобождает от ответственности. И ответственность наступает независимо от того, считал ли человек своё участие серьёзным или полагал, что просто выполняет чью-то просьбу. Следует помнить, что за многие подобные действия предусмотрена адми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истративная или уголовная ответственность, вплоть до пожизненного лишения свободы. .Законодательство в этой области было существенно ужесточено. Теперь ответственность за преступления террористической и экстремистской направленности наступает с 14 лет. Сро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наказания значительно увеличены: например, за содействие террористической деятельности (ст. 205.1 УК РФ) предусмотрено лишение свободы на срок от 10 до 20 лет, а за прохождение обучения в целях осуществления террористической деятельности (ст. 205.3 УК 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от 15 до 20 лет или пожизненное заключение. Важно знать, что для осужденных по этим статьям закон предусматривает особые условия. Условное осуждение за подобные преступления запрещено. Право на условно-досрочное освобождение (УДО) существенно ограничено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ходатайствовать о нем можно будет только после отбытия не менее трех четвертей назначенного срока наказания. Для лиц, осужденных к пожизненному лишению свободы за террористический акт, содействие терроризму и ряд других особо тяжких преступлений, возможно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УДО и вовсе отсутвует. Отдельный повод насторожиться — когда вас просят никому не рассказывать о разговоре или поручении. Настоящие сотрудники правоохранительных органов, государственных учреждений и банков не требуют сохранять происходящее в тайне от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одителей, родственников, коллег или руководителей. Они не просят переводить деньги, сообщать коды из сообщений, оформлять кредиты или участвовать в каких-либо секретных операциях.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вы столкнулись с подобной ситуацией, не пытайтесь разобраться в ней самостоятельно.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прекратить общение;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выполнять никаких поручений и не переводить деньги;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передавать свои документы, банковские карты, аккаунты и персональные данные;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сохранить переписку, номера телефонов, ссылки и другие материалы, которые могут быть важны;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сообщить о произошедшем родителям, законным представителям, близким родственникам, руководителю или другому человеку, которому вы доверяете;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обратиться в полицию либо сообщить о попытке вовлечения через официальные каналы правоохранительных органов.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омните: мошенники рассчитывают на спешку, страх, доверчивость и желание быстро решить проблему. Лучший способ защитить себя — остановиться, взять паузу и проверить информацию через официальный источник.Безопасность начинается с внимательности, ответственно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сти и умения критически оценивать информацию.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предлагаю вернуться к теме нашей сегодняшней лекции — «[название лекции]».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hd w:val="nil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2. Регистрация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sz w:val="28"/>
        </w:rPr>
      </w:r>
      <w:r>
        <w:rPr>
          <w:rFonts w:ascii="Times New Roman" w:hAnsi="Times New Roman" w:eastAsia="Times New Roman" w:cs="Times New Roman"/>
          <w:b/>
          <w:sz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sz w:val="28"/>
        </w:rPr>
        <w:t xml:space="preserve">Салйд 3. Опрос</w:t>
      </w:r>
      <w:r>
        <w:rPr>
          <w:rFonts w:ascii="Times New Roman" w:hAnsi="Times New Roman" w:eastAsia="Times New Roman" w:cs="Times New Roman"/>
          <w:b/>
          <w:sz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sz w:val="28"/>
        </w:rPr>
      </w:r>
      <w:r>
        <w:rPr>
          <w:rFonts w:ascii="Times New Roman" w:hAnsi="Times New Roman" w:eastAsia="Times New Roman" w:cs="Times New Roman"/>
          <w:b/>
          <w:sz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4. Киберграмотность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Каждый из присутствующих здесь сегодня имеет доступ в корпоративную сеть или рабочий чат. Э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 значит, что от каждого частично зависит уязвимость организации, в которой он работает. Сегодня мы поговорим о базовых правилах безопасности в киберпространстве и о том, что каждый из нас лично может сделать для защиты своей информации и данных компании.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ожно составить целый каталог рисков, с которыми сотрудники организаций ежедневно сталкиваются в интернет-пространстве. Можно получить фишинговое письмо на рабочую почту. Могут прислать дипфейк в мессенджер, зас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тавить перейти по «зараженной» ссылке. Могут хитростью убедить скачать шпионское приложение. Могут украсть учетную запись или «увести» аккаунт в социальной сети. Мошеннических сценариев огромное множество, и они постоянно обновляются вместе с технологиями.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Киберграмотность – это знание основ информационной безопасности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следуя которым можно защитить свои личные данные, частную жизнь, деньги, а иногда и само цифровое устройство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Если вы работаете в государственной организации, которая обладает важными данными, киберграмотность вам критически необходима.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0"/>
        <w:jc w:val="both"/>
        <w:spacing w:before="240"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5. Необходимая терминология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Прежде чем перейти к основной части лекции необходимо прояснить ещё пару терминов: кибербезопасность и кибергигиена.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Кибербезопасность – это совокупность методов и практик защиты компьютеров, серверов, мобильных устройств, электронных систем, сетей и данных от атак злоумышленников.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Кибергигиена – это свод практических правил и привычек, которые пользователь соблюдает для обеспечения своей безопасности в цифровом пространстве.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их соблюдении сохраняется порядок и стабильность информационных систем, с которыми вы взаимодействуете. Пренебрежение ими, напротив, приводит к печальным последствиям.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0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6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Почему киберграмотность так важна 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2022 года уровень кибератак на российскую инфраструктуру растет ежегодно. В первом полугодии 2025 года количество атак на российские компании выросло на 27% и превысило 63 000 случаев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Более 100 млн атак хакеры совершили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vertAlign w:val="superscript"/>
        </w:rPr>
        <w:footnoteReference w:id="3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 российские облачные сервисы. По данным МВД РФ, ущерб от IT-преступлений в России за первые семь месяцев 2025 года увеличился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vertAlign w:val="superscript"/>
        </w:rPr>
        <w:footnoteReference w:id="4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 16% — со 100,5 млрд рублей до 119,6 млрд рублей.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 2022 года кибератаки, конечно, тоже совершались. Но раньше хакеры выбирали конкретные компании. Например, с точки зрен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ия киберпреступников, было выгодно взломать данные сети доставки или онлайн-маркета, чтобы получить персональные данные клиентов и либо перепродать базу на черном рынке данных, либо пытаться шантажировать компанию, либо точечно выманивать средства у людей.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Еще три года назад у российских компаний малого и среднего бизнеса не было такой острой необходимости зан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иматься усиленной защитой инфраструктуры. Но обстоятельства дали понять, что без этого мы будем ежедневно терять данные, деньги и репутацию. Раньше киберграмотность была навыком ИТ-специалистов, сегодня это базовая необходимость для человека со смартфоном.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7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Кибератаки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—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это политический жест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Хактивизм — новый тренд киберпреступности в отношении России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Это хакерские методы для достижения политических или социальных целей. Сегодня хакерские группировки целенаправленно ведут атаки именно на российские компании, причем сфера деятельности организации уже не так важна — принципиальна принадлежность к России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5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возможность попасть в новостные заголовки в стиле: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«Группировка X заявила о причастности ко взлому российской сети…»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2025 году, по некоторым оценкам, каждая пятая кибератака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vertAlign w:val="superscript"/>
        </w:rPr>
        <w:footnoteReference w:id="6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России носит идеологический характер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7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(для сравнения, в 2024 году этот показатель составлял лишь 14%).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Важно понимать, что под угрозой находится весь российский бизнес и госсектор, которые не могут обойтись без интернета. Это 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сается россиян и как потребителей, и как сотрудников организаций. Если мы оставляем где-то свои данные, мы должны понимать, что они могут утечь в результате кибератаки. Если мы работаем с данными, мы должны сознавать, что кто-то может вести за ними охоту.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Наша защита в 2025 году — это специальные ИТ-решения по внедрению надежных цифровых фильтров для проверки и защиты информации, сильные команды информационной безопасности, а также собственная киберграмотность.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8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Кого атакуют чаще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посмотреть, какие компании больше всего атакуются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последнее время, то мы увидим большинство секторов экономики России: финансы, нефть, авиация, энергетика, промышленность, фармацевтика, телекоммуникации, онлайн-кинотеатры, стриминговые сервисы, музыкальные платформы, государство и государственные услуги.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некоторым оценкам, в 2025 году основными целями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vertAlign w:val="superscript"/>
        </w:rPr>
        <w:footnoteReference w:id="8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хакеров стали ИТ, телекоммуникации, медиа и ритейл. Кроме того, хакеры усилили натиск на российскую фармацевтическую отрасль. По данным некоторых компаний, количество DDoS-атак на фармацевтическую отрасль РФ выросло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vertAlign w:val="superscript"/>
        </w:rPr>
        <w:footnoteReference w:id="9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 82%. Эксперты объясняют это не столько интересом к самой отрасли, сколько обнаруженными уязвимостями и слабой защитой в этой сфере. Здесь не последнюю роль играет и низкий уровень киберграмотности топ-менеджмента и рядовых сотрудников.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9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Чем опасны кибератаки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Перечислим основные опасности корпоративных кибератак: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проникновение в инфраструктуру и кража интеллектуальной собственности;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финансовые потери;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кража данных для выкупа и перепродаж и последующие шантаж и вымогательство;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утечка данных клиентов и репутационные риски;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технический простой на время отражения атак и восстановления после инцидента (остановка производства и технологических процессов, невозможность принимать заказы, оформлять билеты, оказывать услуги, сбой логистики и поставок).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Бизнес и госсектор обычно не сообщают об отраженных атаках, потому что это ежедневная рутина штата кибербезопасности. Зато взломы и атаки, которые не удалось предотвратить или отразить, конечно, широко освещаются.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Крупные кибератаки 2025 года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 громких атак на российскую инфраструктуру в 2025 году можно отметить взломы микрофинансовых организаций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10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интернет-провайдеров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11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газо- и нефтедобывающих и газо- и нефтеперерабатывающих компаний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12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Летом от хакеров пострадала инфраструктура бренда одежды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13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В июле 2025 года наблюдались проблемы из-за хакеров в аптечных сетях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14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 Но, безусловно, самой масштабной хакерской акцией стала атака на ИТ-системы российского авиаперевозчика «Аэрофлот» в июле.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Давайте подробнее рассмотрим этот инцидент.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10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Взлом ИT-систем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авиакомпании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vertAlign w:val="superscript"/>
        </w:rPr>
        <w:footnoteReference w:id="15"/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28 июля 2025 года в ИТ-инфраструктуре «Аэрофлота» произошел масштабный сбо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й. Нарушения коснулись системы бронирования и управления полетами, работы мобильного приложения и сайта и других ключевых цифровых сервисов. Перевозчик отменил или задержал около 42% рейсов. Отмена и переносы сотен рейсов затронули около 20 000 пассажиров.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Ответственность за атаку взяли две группировки злоумышленников, связанные с украинскими и белорусскими хакерами. По заявлению хакеров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16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якобы были: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уничтожена критически важная составляющая IT-систем и информации (7000 серверов);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похищено более 20 Террабайт данных;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11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Спокойствие вместо паники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Расследование атаки на «Аэрофлот» ведется в закрытом режиме, поэтому подробности и ее реальные последствия в публичном поле пока не освещаются.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 важно понимать: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Несмотря на все заявления хакеров, утечка данных пассажиров и сотрудников официально не подтвердилась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17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«Аэрофлот» — стратегическая компания с объектами критической инфраструктуры, она обязана официально заявлять о проблемах, если те возникли.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Перевозчик уже к вечеру смог возобновить 206 из 260 рейсов и решить главную проблему — восстановление авиасообщения. Это значит, что сообщения хакеров о «полном уничтожении инфраструктуры» во многом были преувеличены.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Уже на следующий день после атаки «Аэрофлот» объявил о нормализации работы сайта и вхождении в летное расписание.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Говоря о случившемся, необходимо упомянуть и последствия для авиаперевозчика. Потенциальный ущерб для компании включает: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десятки миллионов рублей прямых потерь из-за отмены рейсов;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затраты на восстановление ИТ-системы;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пересмотр подходов к информационной безопасности и вложения в усиление защиты;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возможные штрафы за утечку персональных данных (до 500 млн рублей)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18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потенциальные государственные санкции и штрафы.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Атака на «Аэрофлот», безусловно, политический шаг. Такие сложные преступления долго планируются и хорошо спонсируются. Этот инцидент заставил российские компании, особенно стратегические, еще раз пересмотреть свое отношение к безопасности. Разуме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ется, основная задача по защите инфраструктуры лежит на профильных специалистах по информационной безопасности. Однако уровень киберграмотности всей команды — как топ-менеджмента, так и линейных сотрудников — напрямую влияет на киберустойчивость компании.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12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осударственный сектор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зоне риска киберпреступности остается и российский госсектор. Более того, число атак на него растет. Что еще важно, госсектор — цель кибершпионажа.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в 2024 году на долю российского госсектора приходилось 17% шпионских атак, то только в первом полугодии 2025 года, по разным оценкам, уже от 21% до 29% всех кибератак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vertAlign w:val="superscript"/>
        </w:rPr>
        <w:footnoteReference w:id="19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20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74750" cy="264795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5520805" name="image1.png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174750" cy="264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92.50pt;height:20.8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 чем охотятся хакеры?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(Ответы слушателей)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Злоумышленников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интересуют клиентские данные, интеллектуальная собственность, финансовые записи и критическая бизнес-аналитика. Самая желанная цель хакеров — учетные данные. Это буквально «открытая дверь» в инфраструктуру компании и прямой доступ к корпоративным данным.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74750" cy="264795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5520807" name="image1.png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174750" cy="264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92.50pt;height:20.8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Почему так привлекателен госсектор?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(Ответы слушателей)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России он, учитывая масштаб территории нашей страны, огромен. У нас около 3,5 млн госслужащих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vertAlign w:val="superscript"/>
        </w:rPr>
        <w:footnoteReference w:id="21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22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В государственных учреждениях есть серьезная уязвимость — человеческий фактор и отсутствие проверки киберграмотности сотрудников.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13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Примеры киберугроз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Теперь давайте посмотрим, чего именно нам стоит опасаться на рабочих местах, во время общения с коллегами и партнерами в социальных сетях и мессенджерах.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Прежде чем мы поговорим о таких серьезных вещах, как фишинговые письма, двухфакторная аутентификация в Телегр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ам и компрометация личных и рабочих данных, покажу вам еще несколько эффективных историй взлома «не на нашей стороне». То есть не в России. Некоторые из этих историй кажутся просто невероятными. Но поверьте, они уже вписаны в учебники по кибербезопасности.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2017 год. Сотрудник Tesla после понижения в должности похищает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vertAlign w:val="superscript"/>
        </w:rPr>
        <w:footnoteReference w:id="23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конфиденциальную информацию компании и передает ее третьим лицам. По словам злоумышленника, он внедрил в компьютерные системы компании вредоносное программное обеспечение, которое позволяло ему и после увольнения регулярно пересылать часть данных.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212529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2019 год. Хакеры получают доступ к данным компании Airbus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vertAlign w:val="superscript"/>
        </w:rPr>
        <w:footnoteReference w:id="2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через компьютер, который использовал нелицензионную версию программы.</w:t>
      </w:r>
      <w:r>
        <w:rPr>
          <w:rFonts w:ascii="Times New Roman" w:hAnsi="Times New Roman" w:eastAsia="Times New Roman" w:cs="Times New Roman"/>
          <w:color w:val="212529"/>
          <w:sz w:val="28"/>
          <w:szCs w:val="28"/>
        </w:rPr>
        <w:t xml:space="preserve"> Была скомпрометирована ценная информация, включая данные более чем 3200 поставщиков: имена, контактные номера и электронные адреса.</w:t>
      </w:r>
      <w:r>
        <w:rPr>
          <w:rFonts w:ascii="Times New Roman" w:hAnsi="Times New Roman" w:eastAsia="Times New Roman" w:cs="Times New Roman"/>
          <w:color w:val="212529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2020 год. Происходит самый громкий взлом соцсети X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vertAlign w:val="superscript"/>
        </w:rPr>
        <w:footnoteReference w:id="25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151515"/>
          <w:sz w:val="28"/>
          <w:szCs w:val="28"/>
        </w:rPr>
        <w:t xml:space="preserve">(Социальная сеть, заблокирова</w:t>
      </w:r>
      <w:r>
        <w:rPr>
          <w:rFonts w:ascii="Times New Roman" w:hAnsi="Times New Roman" w:eastAsia="Times New Roman" w:cs="Times New Roman"/>
          <w:color w:val="151515"/>
          <w:sz w:val="28"/>
          <w:szCs w:val="28"/>
        </w:rPr>
        <w:t xml:space="preserve">нная на территории РФ). Похищены более сотни верифицированных аккаунтов, в том числе крупных компаний, артистов, известных бизнесменов, и политиков. С каждого аккаунта хакеры опубликовали предложение перечислить биткоины на указанный кошелек, обещая вернут</w:t>
      </w:r>
      <w:r>
        <w:rPr>
          <w:rFonts w:ascii="Times New Roman" w:hAnsi="Times New Roman" w:eastAsia="Times New Roman" w:cs="Times New Roman"/>
          <w:color w:val="151515"/>
          <w:sz w:val="28"/>
          <w:szCs w:val="28"/>
        </w:rPr>
        <w:t xml:space="preserve">ь их в двойном размере. За несколько часов они заработали более 100 000 долларов. В ходе расследования выяснилось: один из преступников убедил сотрудника социальной сети, что работает в IT-отделе компании, и обманом заставил предоставить ему учетные данные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2021 год.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Злоумышленник попытался отравить питьевую воду во время атаки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vertAlign w:val="superscript"/>
        </w:rPr>
        <w:footnoteReference w:id="26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 водоочистную станцию американского города во 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лориде. Он вошел в компьютерную систему сооружения через приложение для удаленного доступа. Как потом выяснили службы безопасности, компьютер просто не был выключен. В ходе атаки хакер проник в систему очистки воды и увеличил концентрацию гидроксида натрия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27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 100 раз — такая концентрация смертельно опасна для человека.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этих примерах сотрудники компаний напрямую передавали данные компании — осознанно или под влиянием социальной инженерии. В ряде случаев причиной хакерского вторжения становилась простая и обидная беспечность в обращении с рабочей техникой и данными.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14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Уязвимость №1. Фишинг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vertAlign w:val="superscript"/>
        </w:rPr>
        <w:footnoteReference w:id="28"/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Различные методы обмана сотрудников компаний в кибербезопасности объединяют общим термином — социальная инженерия. Злоумышленники используют психологические приемы и манипуляции 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целью вынудить жертву совершить необоснованное действие. Могут попросить перевести деньги, дать пароль от корпоративной системы, «слить» персональную информацию клиентов компании. Могут «заманить» фишинговой ссылкой с вредоносным программным обеспечением.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94% случаев кибератаки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начинаются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9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 фишинговых писем сотрудникам. Каждый четвертый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151515"/>
          <w:sz w:val="28"/>
          <w:szCs w:val="28"/>
          <w:shd w:val="clear" w:color="auto" w:fill="ffffff"/>
        </w:rPr>
        <w:t xml:space="preserve">сотрудник крупной компании в России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30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переходит по ссылке в фишинговых письмах. Это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проблема характерна для всего мира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фишинговые кампании чаще проводятся именно против государственных организаций.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Один из крупных российских сотовых операторов вместе с ИТ-компанией в 2024 году проводил эксперимент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vertAlign w:val="superscript"/>
        </w:rPr>
        <w:footnoteReference w:id="31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— тренировочные фишинговые 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ассылки по российским компаниям. Оказалось, что половина персонала в каждой компании готова открыть фишинговое письмо, 35% переходит по присланной ссылке, а каждый третий из тех, кто перешел по ссылке, вводит свои персональные данные на сторонних ресурсах.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Больше всего рядовые сотрудники доверяли письмам от HR- и ИТ-отделов. Например, люди охотно открывали письма с темой «Фото с корпоратива» и «Нарушение корпоративной политики использова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ния учетных записей», а также тревожные письма на тему денег, если заголовок касался премии, зарплаты или перевода пенсии в частный фонд. Сотрудники переходили по ссылкам, чтобы узнать о введении дресс-кода или посмотреть фото с корпоративного мероприятия.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Вот список «работающих» тем фишинговых писем от еще одной российской ИТ-компании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32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Расчетный листок.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Выплата компенсации через «Госуслуги».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Блокировка «Госуслуг».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Закупка кресел.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Изменения в режиме работы.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Анализ на ковид.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Новый полис ДМС.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Обучение от Росфинмониторинга.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Отправка отсканированного документа.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Расшифровка базы 1С.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Сегодня мы добавили бы в такой список тему отсрочки от армии, внесение дополнительных сведений в военкомат, переход на удаленную работу, отключение интернета, блокировку мессенджеров и другие актуальные темы. И будьте уверены, хакеры их используют.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74750" cy="264795"/>
                <wp:effectExtent l="0" t="0" r="0" b="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5520806" name="image1.png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174750" cy="264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92.50pt;height:20.8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Возможно, кто-то встречал тренировочные фишинговые письма от службы безопасности? Поднимите руку, кто знаком с этим методом проверки киберграмотности, кто получал письма с заголовками «Важные изменения в положении о премировании» или подобные.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(Ответы слушателей)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 очень важные тренинги для российских компаний. Если в вашей компании они проводятся, рекомендую их проходит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ь. В России пока нет единого стандарта кибербезопасности, но они постепенно разрабатываются ведущими ИТ и телекоммуникационными компаниями. В конце лекции обязательно посоветую ресурсы, которые можно использовать для обновления знаний о кибербезопасности.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Основные признаки фишинга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Давайте с вами проговорим основные признаки фишингового сообщения: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"/>
        </w:numPr>
        <w:ind w:left="1134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эмоциональные и вовлекающие темы (для каждого отдела в организации, на которую готовится кибератака, хакеры могут подбирать свои «стресс-темы», которые спровоцируют сотрудника открыть письмо);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"/>
        </w:numPr>
        <w:ind w:left="1134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ошибки и опечатки (да, ваши сотрудники могут допускать ошибки, но обычно массовые почтовые рассылки тщательно вычитываются, так что странные опечатки — повод внимательно рассмотреть письмо);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"/>
        </w:numPr>
        <w:ind w:left="1134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странности в оформлении письма, в адресах отправителей, некорректное написание названия компании (почтовые рассылки в компаниях ведутся по стандарту, поэтому нехарактерное приветствие, оформление шапки письма или подписи должно насторожить);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"/>
        </w:numPr>
        <w:ind w:left="1134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настойчивый призыв перейти по ссылке с упором на срочность (подпишите этот документ в течение часа / ссылка с фотографиями будет доступна только в течение рабочего дня / просьба ознакомиться как можно быстрее).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Типичный сценарий фишинга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Сотруднику приходит письмо якобы от ИТ-службы с просьбой помочь протестировать некий новый веб-ресурс. Для этого предлагается перейти по ссылке из письма и ввести свои учетные данные. Фишинговый ресурс может иметь полное сх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одство с аналогичным корпоративным ресурсом, отличаясь только в названии (другой домен). Сотрудник будет думать, что выполняет просьбу ИТ-службы, а в реальности передаст учетные данные, с помощью которых хакеры получат доступ во внутреннюю инфраструктуру.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Расчет фишингового письма делается на то, что жертва вводит свой логин и пароль доступа. После этого учетные данные немедленно похищаются, и злоумышленники получают доступ к нужным аккаунтам или к корпоративной системе.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Через вложения к письму, а также по ссылкам, на рабочее устройство может проникнуть вредоносное ПО: вирусы, черви, трояны, программы-вымогатели, шпионское и рекламное ПО.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Способы защиты от утечки данных: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бдительность при работе с корпоративной почтой;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консультация с коллегами при получении подозрительного письма;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обращение в ИБ-отдел при возникновении подозрений;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надежное антивирусное ПО;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использование сервисов проверки ссылок и сайтов;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безопасный просмотр веб-страниц.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15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Уязвимость №2. …в личных целях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Вспомните, как часто приходится оставлять где-то св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ой email. Практически каждая регистрация на новом сервисе, оформление услуг, покупки на новых маркетплейсах требуют указания электронной почты. Сотрудники компаний и госструктур часто используют рабочие адреса для регистрации на личных и сторонних сервисах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33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Самое критичное — это использование того же пароля.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вы тоже так поступаете, не буду вас просить поднять руку, но, пожалуйста, не делайте так. Это критичное нарушение правил кибербезопасности.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2025 году в России проводилось исследование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vertAlign w:val="superscript"/>
        </w:rPr>
        <w:footnoteReference w:id="34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 примере 100 крупнейших компаний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чистой прибыли из рейтинга Forbes. Стояла задача выяснить, насколько часто сотрудники используют корпоративные email для регистрации на сторонних ресурсах. Так вот, у 94 компаний из 100 рабочие почтовые адреса «засветились» в утечках и украденных базах.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Типичный сценарий: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Сотрудник регистрируется с корпоративной почтой и тем же паролем для покупки, например, экипировки для рыбалки. Сайт магазина взламывается, корп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оративные учетные данные оказываются в базе данных на черном рынке и определяются как принадлежность конкретной организации. Если к почте указывается еще и тот же пароль, что используется в корпоративной системе, то хакеры получают готовый ключ для входа.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Служба безопасности компании ничего не может с этим сделать, потому что не контролирует утечки сторонних сервисов.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Способы защиты от утечки данных: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использование корпоративной почты только в рабочих целях;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если по каким-то причинам приходится указывать рабочую почту на стороннем ресурсе, не используйте тот же пароль.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точки зрения кибербезопасности, 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оит иметь разные почтовые ящики для разных целей. Например, для всех покупок, оформления билетов, поездок и других регистраций можно завести отдельную почту. Рабочие же вопросы стоит решать по почте, которая будет использоваться исключительно в этих целях.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sz w:val="28"/>
        </w:rPr>
        <w:t xml:space="preserve">6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Уязвимость №3. Проблема паролей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Миллионы людей во всем мире совершают одну ошибку: выбирают один пароль и используют его везд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 — в почтовом ящике, банковском личном кабинете, на сервисе госуслуг, рабочем ноутбуке и так далее. Если хотя бы один сервис оказывается скомпрометирован, злоумышленники попробуют использовать тот же пароль для других аккаунтов жертвы — и попадут в точку.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Уникальные пароли — это разные ключи от разны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 дверей. Представьте, что у вас был бы один ключ для квартиры, машины, загородного дома, офиса и сейфовой ячейки. Вряд ли вы бы согласились на такой риск. Не соглашайтесь на это и в интернете. Ключевое правило кибербезопасности: один сервис — один пароль.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Еще один риск — редкая смена пароля. Учитыва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растущее число кибератак, пароли рекомендуется менять раз в один-два месяца — именно это обычно предлагает сделать владельцу рабочего ноутбука внутренняя система безопасности. Более частая смена пароля снижает риск компрометации и проникновения хакеров.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Защита от утечки данных: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использование разных паролей для разных ресурсов и уникального пароля для корпоративного аккаунта;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регулярная смена пароля;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составление сложных паролей (лучше пользоваться менеджерами паролей: они шифруют данные, помогают создавать сложные сочетания знаков и хранят их в защищенной базе);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двухфакторная аутентификация (если сервис предоставляет такую возможность, используйте усиленную защиту аккаунта).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17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Уязвимость №4. Использование мессенджеров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у вашей организации нет внутреннего мессенджера, то, скорее всего, вы используете для работы тот же мессенджер, в котором общаетесь с родными, друзьями, соседями по дому и знакомыми по интересам.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 огромная проблема для служб безопасности, потому что хранение конфиденциальной информации в мессенджере, пересылка корпоративной информации и файлов — обычное дело буквально для всех сотрудников всех компаний.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Соответс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твенно, если у сотрудника «угоняют» аккаунт (а это снова делается с помощью фишинговых ссылок и неосторожного ввода пароля и кода), то в распоряжении преступников оказывается чувствительная информация о компании, контакты других сотрудников и важные файлы.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 будем устраивать здесь опрос, но просто информация вам для самопроверки. Проверьте, совпадают ли у вас эти пункты: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вы храните в «избранном» мессенджера пароли от других сервисов и конфиденциальную информацию;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у вас есть рабочие чаты, в которых вы обсуждаете рабочие вопросы и делитесь файлами;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у вас нет двухфакторной аутентификации;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вы не создаете секретные чаты для рабочих диалогов.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вы мысленно согласились хотя бы с одним пунктом — ваши личные данные и данные 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мпании могут быть под угрозой. Еще раз подчеркну: наше поведение в интернете — это наша ответственность. Да, служба безопасности должна защитить компанию от хакеров, но и нас должно защищать собственное критическое мышление и осознанность действий в Сети.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 же самое касается социальных сетей. Часто киберпреступники составляют портрет жертвы по открытым социальным сетям, начинают общение именно там, а уже много позже атакуют компанию через выбранного и изученного человека.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Защита от утечки данных: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приходится вести рабочие диалоги в общедоступном мессенджере, создавайте закрытые группы с приватным уровнем доступа.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Используйте секретные чаты.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Удаляйте важную информацию или включите автоудаление чатов.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Используйте двухфакторную аутентификацию для доступа в мессенджер/соцсеть.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 вступайте в переписку с неизвестными контактами, не переходите по ссылкам от них и не сообщайте коды доступа.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Используйте настройки приватности, чтобы максимально закрыть свой аккаунт от посторонних.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есть возможность, используйте отдельную учетную запись мессенджера для рабочих контактов.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Проверяйте подозрительные сообщения от коллег и руководства: новые технологии позволяют распространять в мессенджерах дипфейки, имитирующие общение коллег.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18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Государство и кибербезопасность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уровне цифрового суверенитета в России сейчас разрабатываются и внедряются отечественные ИБ-решения для защиты информационных систем. На них переводятся госструктуры и бизнес. Источники этих решений — российские ИТ-компании.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Нашему государству сейчас крайне важно обеспечить комфортные условия для развития IT-бизнеса. У нас действует целый ряд мер поддержки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vertAlign w:val="superscript"/>
        </w:rPr>
        <w:footnoteReference w:id="35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ИТ-сферы через различные программы: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Преимущества для сотрудников IT-компаний (льготная ипотека, упрощенная процедура трудоустройства).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Гранты, субсидии, льготные кредиты.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Налоговые меры господдержки (пониженная ставка по налогу на прибыль, освобождение от НДС, пониженные страховые взносы, резидентство в льготных зонах).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Ведется комплексная работа по повышению киберграмотности населения. С 2022 года была запущена программа кибергигиены в рамках федерального проекта «Информационная безопасность» нацпрограммы «Цифровая экономика»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36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С 2024 года вводятся занятия по киберграмотности в школах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37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Также с 2024 года Минцифры приступило к реализации программы повышения уровня кибергигиены среди граждан и государственных служащих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38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 стороны законодательства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footnoteReference w:id="39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разработан пакет мер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vertAlign w:val="superscript"/>
        </w:rPr>
        <w:footnoteReference w:id="40"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 борьбе с кибермошенниками — он уже находится на рассмотрении в правительстве.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Но, как мы сегодня с вами обсудили, любую, даже самую надежную защиту можно обойти с помощью социальной инженерии. Поэтому важная часть работы государства — повышение киберграмотности людей.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Будьте внимательны в интернете, соблюдайте правила кибергигиены и постоянно обновляйте свои знания о новых схемах мошенников и угрозах!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19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Заключение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Современн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ая кибербезопасность — это не только вопрос технологий, но и ответственность каждого из нас. Как мы убедились, большинство успешных атак основано на человеческом факторе: невнимательности, доверчивости или пренебрежении базовыми правилами цифровой гигиены.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Важно помнить: социальная инженерия остается главным инструментом злоумышленников — будьте критичны к неожиданным запросам и срочным просьбам.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Использование уникальных паролей, двухфакторной аутентификации и менеджеров паролей значительно снижает риски.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Рабочие инструменты: почта, мессенджеры, аккаунты — должны использоваться строго в профессиональных целях.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 Регулярное обучение и повышение киберграмотности становятся необходимостью в условиях быстро меняющихся угроз.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Россия активно развивает меры защиты на государственном и корпоративном уровнях, но без вашей личной осознанности и дисциплины даже самые совершенные системы останутся уязвимыми.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Будьте бдительны, соблюдайте правила кибергигиены и помните: ваша внимательность — это первый и самый надежный барьер на пути киберпреступников.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Прошу вас дать обратную связь о сегодняшней лекции, перейдя по QR-коду на экране. Спасибо за внимание!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bookmarkStart w:id="2" w:name="_GoBack"/>
      <w:r/>
      <w:bookmarkEnd w:id="2"/>
      <w:r/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Ссылки на полезные ресурсы по кибербезопасности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Здесь я хочу дать полезные ссылки на государственные и связанные с государственными структурами ресурсы, которые помогут повысить свой уровень кибеграмотности.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5"/>
        </w:num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  <w:t xml:space="preserve">Официальный аккаунт Банка России</w:t>
      </w:r>
      <w:r>
        <w:rPr>
          <w:rFonts w:hint="default"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ru-RU"/>
        </w:rPr>
        <w:t xml:space="preserve"> - </w:t>
      </w:r>
      <w:r>
        <w:rPr>
          <w:rFonts w:ascii="Times New Roman" w:hAnsi="Times New Roman" w:eastAsia="Times New Roman" w:cs="Times New Roman"/>
          <w:i w:val="0"/>
          <w:iCs w:val="0"/>
          <w:color w:val="0563c1"/>
          <w:sz w:val="28"/>
          <w:szCs w:val="28"/>
          <w:u w:val="single"/>
        </w:rPr>
        <w:t xml:space="preserve">https://t.me/centralbank_russia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</w:r>
    </w:p>
    <w:p>
      <w:pPr>
        <w:numPr>
          <w:ilvl w:val="0"/>
          <w:numId w:val="5"/>
        </w:num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  <w:t xml:space="preserve">Всероссийская акция «Цифровой диктант»</w:t>
      </w:r>
      <w:r>
        <w:rPr>
          <w:rFonts w:hint="default"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ru-RU"/>
        </w:rPr>
        <w:t xml:space="preserve"> - </w:t>
      </w:r>
      <w:r>
        <w:rPr>
          <w:rFonts w:ascii="Times New Roman" w:hAnsi="Times New Roman" w:eastAsia="Times New Roman" w:cs="Times New Roman"/>
          <w:i w:val="0"/>
          <w:iCs w:val="0"/>
          <w:color w:val="0563c1"/>
          <w:sz w:val="28"/>
          <w:szCs w:val="28"/>
          <w:u w:val="single"/>
        </w:rPr>
        <w:t xml:space="preserve">https://digitaldictation.ru/</w:t>
      </w:r>
      <w:r>
        <w:rPr>
          <w:rFonts w:hint="default" w:ascii="Times New Roman" w:hAnsi="Times New Roman" w:eastAsia="Times New Roman" w:cs="Times New Roman"/>
          <w:i w:val="0"/>
          <w:iCs w:val="0"/>
          <w:color w:val="0563c1"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  <w:t xml:space="preserve">Ежегодная акция при поддержке нацпроекта «Цифровая экономика» для определения и повышения уровня киберграмотности россиян.</w:t>
      </w:r>
      <w:r>
        <w:rPr>
          <w:rFonts w:hint="default"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</w:r>
    </w:p>
    <w:p>
      <w:pPr>
        <w:numPr>
          <w:ilvl w:val="0"/>
          <w:numId w:val="5"/>
        </w:num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  <w:t xml:space="preserve">Вестник Киберполиции России</w:t>
      </w:r>
      <w:r>
        <w:rPr>
          <w:rFonts w:hint="default"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ru-RU"/>
        </w:rPr>
        <w:t xml:space="preserve"> - </w:t>
      </w:r>
      <w:r>
        <w:rPr>
          <w:rFonts w:ascii="Times New Roman" w:hAnsi="Times New Roman" w:eastAsia="Times New Roman" w:cs="Times New Roman"/>
          <w:i w:val="0"/>
          <w:iCs w:val="0"/>
          <w:color w:val="0563c1"/>
          <w:sz w:val="28"/>
          <w:szCs w:val="28"/>
          <w:u w:val="single"/>
        </w:rPr>
        <w:t xml:space="preserve">https://t.me/cyberpolice_rus</w:t>
      </w:r>
      <w:r>
        <w:rPr>
          <w:rFonts w:hint="default" w:ascii="Times New Roman" w:hAnsi="Times New Roman" w:eastAsia="Times New Roman" w:cs="Times New Roman"/>
          <w:i w:val="0"/>
          <w:iCs w:val="0"/>
          <w:color w:val="0563c1"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  <w:t xml:space="preserve">Официальный телеграм-канал УБК МВД России. Регулярно публикует новые схемы мошенничества и способы защиты от них.</w:t>
      </w:r>
      <w:r>
        <w:rPr>
          <w:rFonts w:ascii="Times New Roman" w:hAnsi="Times New Roman" w:eastAsia="Times New Roman" w:cs="Times New Roman"/>
          <w:b/>
          <w:i w:val="0"/>
          <w:iCs w:val="0"/>
          <w:color w:val="000000"/>
          <w:sz w:val="28"/>
          <w:szCs w:val="28"/>
        </w:rPr>
      </w:r>
    </w:p>
    <w:p>
      <w:pPr>
        <w:numPr>
          <w:ilvl w:val="0"/>
          <w:numId w:val="5"/>
        </w:num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  <w:t xml:space="preserve">Проверка статуса сайта</w:t>
      </w:r>
      <w:r>
        <w:rPr>
          <w:rFonts w:hint="default" w:ascii="Times New Roman" w:hAnsi="Times New Roman" w:eastAsia="Times New Roman" w:cs="Times New Roman"/>
          <w:i w:val="0"/>
          <w:iCs w:val="0"/>
          <w:color w:val="000000"/>
          <w:sz w:val="28"/>
          <w:szCs w:val="28"/>
          <w:lang w:val="ru-RU"/>
        </w:rPr>
        <w:t xml:space="preserve"> - </w:t>
      </w:r>
      <w:r>
        <w:rPr>
          <w:rFonts w:ascii="Times New Roman" w:hAnsi="Times New Roman" w:eastAsia="Times New Roman" w:cs="Times New Roman"/>
          <w:i w:val="0"/>
          <w:iCs w:val="0"/>
          <w:color w:val="0563c1"/>
          <w:sz w:val="28"/>
          <w:szCs w:val="28"/>
          <w:u w:val="single"/>
        </w:rPr>
        <w:t xml:space="preserve">https://yandex.ru/safety/?ysclid=mf1labidkg417626382</w:t>
      </w:r>
      <w:r>
        <w:rPr>
          <w:rFonts w:hint="default" w:ascii="Times New Roman" w:hAnsi="Times New Roman" w:eastAsia="Times New Roman" w:cs="Times New Roman"/>
          <w:i w:val="0"/>
          <w:iCs w:val="0"/>
          <w:color w:val="auto"/>
          <w:sz w:val="28"/>
          <w:szCs w:val="28"/>
          <w:u w:val="none"/>
          <w:lang w:val="ru-RU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Специальная технология позволяет проверить, стоит ли доверять странному URL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/>
      <w:bookmarkStart w:id="1" w:name="_heading=h.n4jq0wu27xz8"/>
      <w:r/>
      <w:bookmarkEnd w:id="1"/>
      <w:r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Список ресурсов: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numPr>
          <w:ilvl w:val="0"/>
          <w:numId w:val="6"/>
        </w:num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Банк России Образовательный проект по киберграмотности. Методические материалы.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</w:rPr>
        <w:t xml:space="preserve">https://disk.yandex.ru/d/ju-52sM455e19g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Образовательные проекты по киберграмотности «Ростелекома»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</w:rPr>
        <w:t xml:space="preserve">https://www.company.rt.ru/social/cyberknowledge/?ysclid=mf1ajuuykd725032160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СБЕР Про Повышение киберграмотности в компании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</w:rPr>
        <w:t xml:space="preserve">https://sber.pro/publication/uchebnaya-trevoga-kak-povysit-kibergramotnost-v-kompanii/?ysclid=mezleurni3763475816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4.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Блог по информационной безопасности компании OTUS, образовательной платформы в сфере IT-образования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</w:rPr>
        <w:t xml:space="preserve">https://habr.com/ru/companies/otus/articles/835328/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sectPr>
      <w:headerReference w:type="defaul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1134" w:bottom="1134" w:left="1134" w:header="708" w:footer="708" w:gutter="0"/>
      <w:pgNumType w:start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/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Calibri">
    <w:panose1 w:val="020F0502020204030204"/>
  </w:font>
  <w:font w:name="Arial">
    <w:panose1 w:val="020B0604020202020204"/>
  </w:font>
  <w:font w:name="Georgia">
    <w:panose1 w:val="02040503050406030204"/>
  </w:font>
  <w:font w:name="SimSun">
    <w:panose1 w:val="02020603020101020101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</w:pPr>
    <w:r>
      <w:fldChar w:fldCharType="begin"/>
    </w:r>
    <w:r>
      <w:instrText xml:space="preserve">PAGE</w:instrText>
    </w:r>
    <w:r>
      <w:fldChar w:fldCharType="separate"/>
    </w:r>
    <w:r>
      <w:t xml:space="preserve">1</w:t>
    </w:r>
    <w: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59" w:lineRule="auto"/>
      </w:pPr>
      <w:r>
        <w:separator/>
      </w:r>
      <w:r/>
    </w:p>
  </w:footnote>
  <w:footnote w:type="continuationSeparator" w:id="0">
    <w:p>
      <w:pPr>
        <w:spacing w:before="0" w:after="0" w:line="259" w:lineRule="auto"/>
      </w:pPr>
      <w:r>
        <w:continuationSeparator/>
      </w:r>
      <w:r/>
    </w:p>
  </w:footnote>
  <w:footnote w:id="2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https://www.tadviser.ru/index.php/Статья:Число_кибератак_в_России_и_в_мире</w:t>
      </w:r>
      <w:r>
        <w:rPr>
          <w:color w:val="000000"/>
          <w:sz w:val="20"/>
          <w:szCs w:val="20"/>
        </w:rPr>
      </w:r>
    </w:p>
  </w:footnote>
  <w:footnote w:id="3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https://www.kommersant.ru/doc/8005344?ysclid=mey9460x9b490428109</w:t>
      </w:r>
      <w:r>
        <w:rPr>
          <w:color w:val="000000"/>
          <w:sz w:val="20"/>
          <w:szCs w:val="20"/>
        </w:rPr>
      </w:r>
    </w:p>
  </w:footnote>
  <w:footnote w:id="4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https://www.kommersant.ru/doc/8005787?ysclid=mf1f0sbji7346346890</w:t>
      </w:r>
      <w:r>
        <w:rPr>
          <w:color w:val="000000"/>
          <w:sz w:val="20"/>
          <w:szCs w:val="20"/>
        </w:rPr>
      </w:r>
    </w:p>
  </w:footnote>
  <w:footnote w:id="5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https://www.anti-malware.ru/news/2025-09-04-111332/47219</w:t>
      </w:r>
      <w:r>
        <w:rPr>
          <w:color w:val="000000"/>
          <w:sz w:val="20"/>
          <w:szCs w:val="20"/>
        </w:rPr>
      </w:r>
    </w:p>
  </w:footnote>
  <w:footnote w:id="6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https://www.cnews.ru/news/top/2025-08-12_hakery_v_2025_godu_stali_v_pyat?ysclid=meyc8m8i3535918362</w:t>
      </w:r>
      <w:r>
        <w:rPr>
          <w:color w:val="000000"/>
          <w:sz w:val="20"/>
          <w:szCs w:val="20"/>
        </w:rPr>
      </w:r>
    </w:p>
  </w:footnote>
  <w:footnote w:id="7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https://tass.ru/ekonomika/18235569</w:t>
      </w:r>
      <w:r>
        <w:rPr>
          <w:color w:val="000000"/>
          <w:sz w:val="20"/>
          <w:szCs w:val="20"/>
        </w:rPr>
      </w:r>
    </w:p>
  </w:footnote>
  <w:footnote w:id="8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https://www.cnews.ru/news/top/2025-08-12_hakery_v_2025_godu_stali_v_pyat?ysclid=meyc8m8i3535918362</w:t>
      </w:r>
      <w:r>
        <w:rPr>
          <w:color w:val="000000"/>
          <w:sz w:val="20"/>
          <w:szCs w:val="20"/>
        </w:rPr>
      </w:r>
    </w:p>
  </w:footnote>
  <w:footnote w:id="9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https://www.gazeta.ru/tech/news/2025/08/28/26598572.shtml?ysclid=meyanb4j9z333705674</w:t>
      </w:r>
      <w:r>
        <w:rPr>
          <w:color w:val="000000"/>
          <w:sz w:val="20"/>
          <w:szCs w:val="20"/>
        </w:rPr>
      </w:r>
    </w:p>
  </w:footnote>
  <w:footnote w:id="10"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https://www.computerra.ru/309334/samye-krupnye-hakerskie-ataki-v-rossii-s-2021-po-2025-god/?ysclid=mf12ssp5b8504057844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11"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https://t.me/mintsifry/2427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12"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https://www.forbes.ru/biznes/533581-lukojl-podvergsa-hakerskoj-atake?ysclid=mf132hfuc2195204898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13"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https://www.kommersant.ru/doc/7799755?ysclid=mf135ov7rf505129817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14"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https://www.rbc.ru/business/29/07/2025/6888ea779a7947251a7031b1?ysclid=mf138ie7gg530293512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15">
    <w:p>
      <w:pPr>
        <w:jc w:val="both"/>
        <w:spacing w:before="30"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"https://www.kommersant.ru/doc/7923869?ysclid=mezm76hv2w944793120"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https://www.kommersant.ru/doc/7923869?ysclid=mezm76hv2w944793120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  <w:p>
      <w:pPr>
        <w:jc w:val="both"/>
        <w:spacing w:before="30"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fldChar w:fldCharType="begin"/>
      </w:r>
      <w:r>
        <w:instrText xml:space="preserve"> HYPERLINK "https://www.vedomosti.ru/business/articles/2025/07/29/1127847-aeroflot-posle-vzloma?ysclid=mezm0zqeu1411961728"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https://www.vedomosti.ru/business/articles/2025/07/29/1127847-aeroflot-posle-vzloma?ysclid=mezm0zqeu1411961728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  <w:p>
      <w:pPr>
        <w:jc w:val="both"/>
        <w:spacing w:before="30"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fldChar w:fldCharType="begin"/>
      </w:r>
      <w:r>
        <w:instrText xml:space="preserve"> HYPERLINK "https://adpass.ru/kiberataka-na-aeroflot-kak-razrushili-tsifrovuyu-infrastrukturu-za-odin-den/?ysclid=mezmjek1au702173380"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https://adpass.ru/kiberataka-na-aeroflot-kak-razrushili-tsifrovuyu-infrastrukturu-za-odin-den/?ysclid=mezmjek1au702173380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  <w:p>
      <w:pPr>
        <w:jc w:val="both"/>
        <w:spacing w:before="30"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fldChar w:fldCharType="begin"/>
      </w:r>
      <w:r>
        <w:instrText xml:space="preserve"> HYPERLINK "https://www.vedomosti.ru/business/articles/2025/07/28/1127530-aeroflot-ustranyat-posledstviya?from=copy_text"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https://www.vedomosti.ru/business/articles/2025/07/28/1127530-aeroflot-ustranyat-posledstviya?from=copy_text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16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https://www.rbc.ru/technology_and_media/28/07/2025/6887359f9a7947bac129a341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</w:r>
    </w:p>
  </w:footnote>
  <w:footnote w:id="17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https://ria.ru/20250731/aeroflot-2032628220.html</w:t>
      </w:r>
      <w:r>
        <w:rPr>
          <w:color w:val="000000"/>
          <w:sz w:val="20"/>
          <w:szCs w:val="20"/>
        </w:rPr>
      </w:r>
    </w:p>
  </w:footnote>
  <w:footnote w:id="18">
    <w:p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https://ria.ru/20250530/rossija-2019878492.html</w:t>
      </w:r>
      <w:r>
        <w:rPr>
          <w:sz w:val="20"/>
          <w:szCs w:val="20"/>
        </w:rPr>
      </w:r>
    </w:p>
  </w:footnote>
  <w:footnote w:id="19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https://www.cnews.ru/news/top/2025-07-28_gossektor_stal_samoj_populyarnoj</w:t>
      </w:r>
      <w:r>
        <w:rPr>
          <w:color w:val="000000"/>
          <w:sz w:val="20"/>
          <w:szCs w:val="20"/>
        </w:rPr>
      </w:r>
    </w:p>
  </w:footnote>
  <w:footnote w:id="20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https://tass.ru/ekonomika/24455843</w:t>
      </w:r>
      <w:r>
        <w:rPr>
          <w:color w:val="000000"/>
          <w:sz w:val="20"/>
          <w:szCs w:val="20"/>
        </w:rPr>
      </w:r>
    </w:p>
  </w:footnote>
  <w:footnote w:id="21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https://www.rbc.ru/economics/14/02/2025/67ac5b2a9a7947c4be96cb42</w:t>
      </w:r>
      <w:r>
        <w:rPr>
          <w:color w:val="000000"/>
          <w:sz w:val="20"/>
          <w:szCs w:val="20"/>
        </w:rPr>
      </w:r>
    </w:p>
  </w:footnote>
  <w:footnote w:id="22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https://www.kommersant.ru/doc/6892926</w:t>
      </w:r>
      <w:r>
        <w:rPr>
          <w:color w:val="000000"/>
          <w:sz w:val="20"/>
          <w:szCs w:val="20"/>
        </w:rPr>
      </w:r>
    </w:p>
  </w:footnote>
  <w:footnote w:id="23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https://tass.ru/ekonomika/5309258</w:t>
      </w:r>
      <w:r>
        <w:rPr>
          <w:color w:val="000000"/>
          <w:sz w:val="20"/>
          <w:szCs w:val="20"/>
        </w:rPr>
      </w:r>
    </w:p>
  </w:footnote>
  <w:footnote w:id="24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https://www.securitylab.ru/news/541788.php?ysclid=mf1g98t4l5601446251</w:t>
      </w:r>
      <w:r>
        <w:rPr>
          <w:color w:val="000000"/>
          <w:sz w:val="20"/>
          <w:szCs w:val="20"/>
        </w:rPr>
      </w:r>
    </w:p>
  </w:footnote>
  <w:footnote w:id="25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https://www.rbc.ru/crypto/news/65af778a9a794773feb3a85e</w:t>
      </w:r>
      <w:r>
        <w:rPr>
          <w:color w:val="000000"/>
          <w:sz w:val="20"/>
          <w:szCs w:val="20"/>
        </w:rPr>
      </w:r>
    </w:p>
  </w:footnote>
  <w:footnote w:id="26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https://www.rbc.ru/rbcfreenews/60224bff9a79475bebacb2c6</w:t>
      </w:r>
      <w:r>
        <w:rPr>
          <w:color w:val="000000"/>
          <w:sz w:val="20"/>
          <w:szCs w:val="20"/>
        </w:rPr>
      </w:r>
    </w:p>
  </w:footnote>
  <w:footnote w:id="27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Средство для</w:t>
      </w:r>
      <w:r>
        <w:rPr>
          <w:rFonts w:ascii="Times New Roman" w:hAnsi="Times New Roman" w:eastAsia="Times New Roman" w:cs="Times New Roman"/>
          <w:color w:val="202122"/>
          <w:sz w:val="20"/>
          <w:szCs w:val="20"/>
          <w:highlight w:val="white"/>
        </w:rPr>
        <w:t xml:space="preserve"> растворения засоров канализационных труб</w:t>
      </w:r>
      <w:r>
        <w:rPr>
          <w:color w:val="000000"/>
          <w:sz w:val="20"/>
          <w:szCs w:val="20"/>
        </w:rPr>
      </w:r>
    </w:p>
  </w:footnote>
  <w:footnote w:id="28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https://www.tadviser.ru/index.php/Статья:Фишинг_в_России#.D0.A4.D0.B8.D1.88.D0.B8.D0.BD.D0.B3_2.0:_.D0.9F.D0.BE.D1.87.D0.B5.D0.BC.D1.83_.D1.81.D1.82.D0.B0.D1.80.D1.8B.D0.B5_.D0.BC.D0.B5.D1.82.D0.BE.D0.B4.D</w:t>
      </w:r>
      <w:r>
        <w:rPr>
          <w:color w:val="000000"/>
          <w:sz w:val="20"/>
          <w:szCs w:val="20"/>
        </w:rPr>
        <w:t xml:space="preserve">1.8B_.D0.BA.D0.B8.D0.B1.D0.B5.D1.80.D0.B7.D0.B0.D1.89.D0.B8.D1.82.D1.8B_.D0.B1.D0.BE.D0.BB.D1.8C.D1.88.D0.B5_.D0.BD.D0.B5_.D1.80.D0.B0.D0.B1.D0.BE.D1.82.D0.B0.D1.8E.D1.82_.D0.B2_.D0.A0.D0.BE.D1.81.D1.81.D0.B8.D0.B8_-_TA_.D0.BC.D0.BD.D0.B5.D0.BD.D0.B8.D1.8F</w:t>
      </w:r>
      <w:r>
        <w:rPr>
          <w:color w:val="000000"/>
          <w:sz w:val="20"/>
          <w:szCs w:val="20"/>
        </w:rPr>
      </w:r>
    </w:p>
  </w:footnote>
  <w:footnote w:id="29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https://gov.cnews.ru/news/top/2025-07-28_gossektor_stal_samoj_populyarnoj?ysclid=mf1ixsqjyp788930450</w:t>
      </w:r>
      <w:r>
        <w:rPr>
          <w:color w:val="000000"/>
          <w:sz w:val="20"/>
          <w:szCs w:val="20"/>
        </w:rPr>
      </w:r>
    </w:p>
  </w:footnote>
  <w:footnote w:id="30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https://tass.ru/ekonomika/5058433</w:t>
      </w:r>
      <w:r>
        <w:rPr>
          <w:color w:val="000000"/>
          <w:sz w:val="20"/>
          <w:szCs w:val="20"/>
        </w:rPr>
      </w:r>
    </w:p>
  </w:footnote>
  <w:footnote w:id="31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https://www.kommersant.ru/doc/7182348?ysclid=mezlneeekf264533144</w:t>
      </w:r>
      <w:r>
        <w:rPr>
          <w:color w:val="000000"/>
          <w:sz w:val="20"/>
          <w:szCs w:val="20"/>
        </w:rPr>
      </w:r>
    </w:p>
  </w:footnote>
  <w:footnote w:id="32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https://www.anti-malware.ru/practice/methods/How-to-teach-employees-to-identify-phishing</w:t>
      </w:r>
      <w:r>
        <w:rPr>
          <w:color w:val="000000"/>
          <w:sz w:val="20"/>
          <w:szCs w:val="20"/>
        </w:rPr>
      </w:r>
    </w:p>
  </w:footnote>
  <w:footnote w:id="33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https://tass.ru/ekonomika/20031161</w:t>
      </w:r>
      <w:r>
        <w:rPr>
          <w:color w:val="000000"/>
          <w:sz w:val="20"/>
          <w:szCs w:val="20"/>
        </w:rPr>
      </w:r>
    </w:p>
  </w:footnote>
  <w:footnote w:id="34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https://www.forbes.ru/tekhnologii/544819-zlopolucennoe-pis-mo-e-mail-sotrudnikov-pocti-vseh-krupnyh-kompanij-est-v-uteckah?ysclid=mf1ixyoywy130172924</w:t>
      </w:r>
      <w:r>
        <w:rPr>
          <w:color w:val="000000"/>
          <w:sz w:val="20"/>
          <w:szCs w:val="20"/>
        </w:rPr>
      </w:r>
    </w:p>
  </w:footnote>
  <w:footnote w:id="35">
    <w:p>
      <w:pPr>
        <w:spacing w:after="0" w:line="240" w:lineRule="auto"/>
        <w:rPr>
          <w:color w:val="000000"/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https://www.consultant.ru/document/cons_doc_LAW_411198/d47d63c1bd09b4f09b07d6278860e9673ca0f14f/</w:t>
      </w:r>
      <w:r>
        <w:rPr>
          <w:color w:val="000000"/>
          <w:sz w:val="20"/>
          <w:szCs w:val="20"/>
        </w:rPr>
      </w:r>
    </w:p>
  </w:footnote>
  <w:footnote w:id="36">
    <w:p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https://minsvyaz.donland.ru/presscenter/news/124401/</w:t>
      </w:r>
      <w:r>
        <w:rPr>
          <w:sz w:val="20"/>
          <w:szCs w:val="20"/>
        </w:rPr>
      </w:r>
    </w:p>
  </w:footnote>
  <w:footnote w:id="37">
    <w:p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fldChar w:fldCharType="begin"/>
      </w:r>
      <w:r>
        <w:instrText xml:space="preserve"> HYPERLINK "https://edu.gov.ru/press/8040/na-uroke-cifry-shkolniki-uznayut-pro-kiberbezopasnost-nastoyaschego-i-buduschego/" \h </w:instrText>
      </w:r>
      <w:r>
        <w:fldChar w:fldCharType="separate"/>
      </w:r>
      <w:r>
        <w:rPr>
          <w:sz w:val="20"/>
          <w:szCs w:val="20"/>
        </w:rPr>
        <w:t xml:space="preserve">https://edu.gov.ru/press/8040/na-uroke-cifry-shkolniki-uznayut-pro-kiberbezopasnost-nastoyaschego-i-buduschego/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</w:r>
    </w:p>
    <w:p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https://урокцифры.рф/</w:t>
      </w:r>
      <w:r>
        <w:rPr>
          <w:sz w:val="20"/>
          <w:szCs w:val="20"/>
        </w:rPr>
      </w:r>
    </w:p>
  </w:footnote>
  <w:footnote w:id="38">
    <w:p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https://digital.gov.ru/activity/kiberbezopasnost/programma-kibergigieny-2</w:t>
      </w:r>
      <w:r>
        <w:rPr>
          <w:sz w:val="20"/>
          <w:szCs w:val="20"/>
        </w:rPr>
      </w:r>
    </w:p>
  </w:footnote>
  <w:footnote w:id="39">
    <w:p>
      <w:pPr>
        <w:spacing w:after="0" w:line="240" w:lineRule="auto"/>
        <w:rPr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fldChar w:fldCharType="begin"/>
      </w:r>
      <w:r>
        <w:instrText xml:space="preserve"> HYPERLINK "http://publication.pravo.gov.ru/document/0001202504010010" \h </w:instrText>
      </w:r>
      <w:r>
        <w:fldChar w:fldCharType="separate"/>
      </w:r>
      <w:r>
        <w:rPr>
          <w:sz w:val="20"/>
          <w:szCs w:val="20"/>
        </w:rPr>
        <w:t xml:space="preserve">http://publication.pravo.gov.ru/document/0001202504010010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</w:r>
    </w:p>
  </w:footnote>
  <w:footnote w:id="40">
    <w:p>
      <w:pPr>
        <w:spacing w:after="0" w:line="240" w:lineRule="auto"/>
        <w:rPr>
          <w:sz w:val="20"/>
          <w:szCs w:val="20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https://regulation.gov.ru/projects/159652</w:t>
      </w:r>
      <w:r>
        <w:rPr>
          <w:sz w:val="20"/>
          <w:szCs w:val="20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40" w:lineRule="auto"/>
    </w:pPr>
    <w:r>
      <w:rPr>
        <w:rFonts w:ascii="Arial" w:hAnsi="Arial" w:eastAsia="Arial" w:cs="Aria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8935" cy="384810"/>
              <wp:effectExtent l="0" t="0" r="0" b="0"/>
              <wp:docPr id="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5520808" name="image2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8935" cy="3848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5pt;height:30.30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/>
        <w:b/>
        <w:bCs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1178"/>
    <w:link w:val="1159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1178"/>
    <w:link w:val="1170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1178"/>
    <w:link w:val="117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1178"/>
    <w:link w:val="117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1178"/>
    <w:link w:val="117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1178"/>
    <w:link w:val="1177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148"/>
    <w:next w:val="114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7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148"/>
    <w:next w:val="114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7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148"/>
    <w:next w:val="114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78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1178"/>
    <w:link w:val="1158"/>
    <w:uiPriority w:val="10"/>
    <w:rPr>
      <w:sz w:val="48"/>
      <w:szCs w:val="48"/>
    </w:rPr>
  </w:style>
  <w:style w:type="character" w:styleId="37">
    <w:name w:val="Subtitle Char"/>
    <w:basedOn w:val="1178"/>
    <w:link w:val="1161"/>
    <w:uiPriority w:val="11"/>
    <w:rPr>
      <w:sz w:val="24"/>
      <w:szCs w:val="24"/>
    </w:rPr>
  </w:style>
  <w:style w:type="paragraph" w:styleId="38">
    <w:name w:val="Quote"/>
    <w:basedOn w:val="1148"/>
    <w:next w:val="114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148"/>
    <w:next w:val="114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14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78"/>
    <w:link w:val="42"/>
    <w:uiPriority w:val="99"/>
  </w:style>
  <w:style w:type="paragraph" w:styleId="44">
    <w:name w:val="Footer"/>
    <w:basedOn w:val="1148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78"/>
    <w:link w:val="44"/>
    <w:uiPriority w:val="99"/>
  </w:style>
  <w:style w:type="paragraph" w:styleId="46">
    <w:name w:val="Caption"/>
    <w:basedOn w:val="1148"/>
    <w:next w:val="11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11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11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11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11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11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11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11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11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11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11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11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11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11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11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11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11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11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11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11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11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11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11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11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11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11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1157"/>
    <w:uiPriority w:val="99"/>
    <w:rPr>
      <w:sz w:val="18"/>
    </w:rPr>
  </w:style>
  <w:style w:type="paragraph" w:styleId="178">
    <w:name w:val="endnote text"/>
    <w:basedOn w:val="114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78"/>
    <w:uiPriority w:val="99"/>
    <w:semiHidden/>
    <w:unhideWhenUsed/>
    <w:rPr>
      <w:vertAlign w:val="superscript"/>
    </w:rPr>
  </w:style>
  <w:style w:type="paragraph" w:styleId="181">
    <w:name w:val="toc 1"/>
    <w:basedOn w:val="1148"/>
    <w:next w:val="114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148"/>
    <w:next w:val="114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148"/>
    <w:next w:val="114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148"/>
    <w:next w:val="114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148"/>
    <w:next w:val="114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148"/>
    <w:next w:val="114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148"/>
    <w:next w:val="114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148"/>
    <w:next w:val="114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148"/>
    <w:next w:val="114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148"/>
    <w:next w:val="1148"/>
    <w:uiPriority w:val="99"/>
    <w:unhideWhenUsed/>
    <w:pPr>
      <w:spacing w:after="0" w:afterAutospacing="0"/>
    </w:pPr>
  </w:style>
  <w:style w:type="paragraph" w:styleId="1148" w:default="1">
    <w:name w:val="Normal"/>
    <w:uiPriority w:val="0"/>
    <w:qFormat/>
    <w:pPr>
      <w:spacing w:after="160" w:line="259" w:lineRule="auto"/>
    </w:pPr>
    <w:rPr>
      <w:rFonts w:ascii="Calibri" w:hAnsi="Calibri" w:eastAsia="Calibri" w:cs="Calibri"/>
      <w:sz w:val="22"/>
      <w:szCs w:val="22"/>
      <w:lang w:val="ru"/>
    </w:rPr>
  </w:style>
  <w:style w:type="character" w:styleId="1149">
    <w:name w:val="FollowedHyperlink"/>
    <w:basedOn w:val="1178"/>
    <w:uiPriority w:val="99"/>
    <w:semiHidden/>
    <w:unhideWhenUsed/>
    <w:qFormat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50">
    <w:name w:val="footnote reference"/>
    <w:basedOn w:val="1178"/>
    <w:uiPriority w:val="99"/>
    <w:semiHidden/>
    <w:unhideWhenUsed/>
    <w:qFormat/>
    <w:rPr>
      <w:vertAlign w:val="superscript"/>
    </w:rPr>
  </w:style>
  <w:style w:type="character" w:styleId="1151">
    <w:name w:val="annotation reference"/>
    <w:basedOn w:val="1178"/>
    <w:uiPriority w:val="99"/>
    <w:semiHidden/>
    <w:unhideWhenUsed/>
    <w:rPr>
      <w:sz w:val="16"/>
      <w:szCs w:val="16"/>
    </w:rPr>
  </w:style>
  <w:style w:type="character" w:styleId="1152">
    <w:name w:val="Hyperlink"/>
    <w:basedOn w:val="1178"/>
    <w:uiPriority w:val="99"/>
    <w:unhideWhenUsed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53">
    <w:name w:val="Strong"/>
    <w:basedOn w:val="1178"/>
    <w:uiPriority w:val="22"/>
    <w:qFormat/>
    <w:rPr>
      <w:b/>
      <w:bCs/>
    </w:rPr>
  </w:style>
  <w:style w:type="paragraph" w:styleId="1154">
    <w:name w:val="Balloon Text"/>
    <w:link w:val="1172"/>
    <w:uiPriority w:val="99"/>
    <w:semiHidden/>
    <w:unhideWhenUsed/>
    <w:qFormat/>
    <w:pPr>
      <w:spacing w:after="0" w:line="240" w:lineRule="auto"/>
    </w:pPr>
    <w:rPr>
      <w:rFonts w:ascii="Segoe UI" w:hAnsi="Segoe UI" w:eastAsia="Calibri" w:cs="Segoe UI"/>
      <w:sz w:val="18"/>
      <w:szCs w:val="18"/>
      <w:lang w:val="ru"/>
    </w:rPr>
  </w:style>
  <w:style w:type="paragraph" w:styleId="1155">
    <w:name w:val="annotation text"/>
    <w:link w:val="1169"/>
    <w:uiPriority w:val="99"/>
    <w:semiHidden/>
    <w:unhideWhenUsed/>
    <w:qFormat/>
    <w:pPr>
      <w:spacing w:after="160" w:line="240" w:lineRule="auto"/>
    </w:pPr>
    <w:rPr>
      <w:rFonts w:ascii="Calibri" w:hAnsi="Calibri" w:eastAsia="Calibri" w:cs="Calibri"/>
      <w:sz w:val="20"/>
      <w:szCs w:val="20"/>
      <w:lang w:val="ru"/>
    </w:rPr>
  </w:style>
  <w:style w:type="paragraph" w:styleId="1156">
    <w:name w:val="annotation subject"/>
    <w:basedOn w:val="1155"/>
    <w:next w:val="1155"/>
    <w:link w:val="1171"/>
    <w:uiPriority w:val="99"/>
    <w:semiHidden/>
    <w:unhideWhenUsed/>
    <w:rPr>
      <w:b/>
      <w:bCs/>
    </w:rPr>
  </w:style>
  <w:style w:type="paragraph" w:styleId="1157">
    <w:name w:val="footnote text"/>
    <w:link w:val="1168"/>
    <w:uiPriority w:val="99"/>
    <w:semiHidden/>
    <w:unhideWhenUsed/>
    <w:pPr>
      <w:spacing w:after="0" w:line="240" w:lineRule="auto"/>
    </w:pPr>
    <w:rPr>
      <w:rFonts w:ascii="Calibri" w:hAnsi="Calibri" w:eastAsia="Calibri" w:cs="Calibri"/>
      <w:sz w:val="20"/>
      <w:szCs w:val="20"/>
      <w:lang w:val="ru"/>
    </w:rPr>
  </w:style>
  <w:style w:type="paragraph" w:styleId="1158">
    <w:name w:val="Title"/>
    <w:basedOn w:val="1148"/>
    <w:next w:val="1148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paragraph" w:styleId="1159">
    <w:name w:val="Heading 1"/>
    <w:basedOn w:val="1148"/>
    <w:next w:val="1148"/>
    <w:uiPriority w:val="9"/>
    <w:qFormat/>
    <w:pPr>
      <w:spacing w:line="240" w:lineRule="auto"/>
      <w:outlineLvl w:val="0"/>
    </w:pPr>
    <w:rPr>
      <w:b/>
      <w:sz w:val="48"/>
      <w:szCs w:val="48"/>
    </w:rPr>
  </w:style>
  <w:style w:type="paragraph" w:styleId="1160">
    <w:name w:val="Normal (Web)"/>
    <w:uiPriority w:val="99"/>
    <w:semiHidden/>
    <w:unhideWhenUsed/>
    <w:pPr>
      <w:spacing w:before="100" w:beforeAutospacing="1" w:after="100" w:afterAutospacing="1" w:line="240" w:lineRule="auto"/>
    </w:pPr>
    <w:rPr>
      <w:rFonts w:ascii="Calibri" w:hAnsi="Calibri" w:eastAsia="Times New Roman" w:cs="Times New Roman"/>
      <w:sz w:val="22"/>
      <w:szCs w:val="22"/>
      <w:lang w:val="ru"/>
    </w:rPr>
  </w:style>
  <w:style w:type="paragraph" w:styleId="1161">
    <w:name w:val="Subtitle"/>
    <w:basedOn w:val="1148"/>
    <w:next w:val="1148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162" w:customStyle="1">
    <w:name w:val="TableNormal"/>
    <w:uiPriority w:val="0"/>
    <w:qFormat/>
    <w:pPr>
      <w:spacing w:after="0" w:line="240" w:lineRule="auto"/>
    </w:pPr>
    <w:rPr>
      <w:rFonts w:eastAsia="Times New Roman" w:cs="Times New Roman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1163">
    <w:name w:val="No Spacing"/>
    <w:uiPriority w:val="1"/>
    <w:qFormat/>
    <w:pPr>
      <w:spacing w:after="0" w:line="240" w:lineRule="auto"/>
    </w:pPr>
    <w:rPr>
      <w:rFonts w:ascii="Calibri" w:hAnsi="Calibri" w:eastAsia="Calibri" w:cs="Calibri"/>
      <w:sz w:val="22"/>
      <w:szCs w:val="22"/>
      <w:lang w:val="ru"/>
    </w:rPr>
  </w:style>
  <w:style w:type="character" w:styleId="1164" w:customStyle="1">
    <w:name w:val="Unresolved Mention"/>
    <w:basedOn w:val="1178"/>
    <w:uiPriority w:val="99"/>
    <w:semiHidden/>
    <w:unhideWhenUsed/>
    <w:qFormat/>
    <w:rPr>
      <w:color w:val="605e5c"/>
      <w:shd w:val="clear" w:color="auto" w:fill="e1dfdd"/>
    </w:rPr>
  </w:style>
  <w:style w:type="character" w:styleId="1165" w:customStyle="1">
    <w:name w:val="Заголовок 1 Знак"/>
    <w:basedOn w:val="1178"/>
    <w:uiPriority w:val="9"/>
    <w:qFormat/>
    <w:rPr>
      <w:rFonts w:eastAsia="Times New Roman" w:cs="Times New Roman"/>
      <w:b/>
      <w:bCs/>
      <w:sz w:val="48"/>
      <w:szCs w:val="48"/>
    </w:rPr>
  </w:style>
  <w:style w:type="paragraph" w:styleId="1166">
    <w:name w:val="List Paragraph"/>
    <w:uiPriority w:val="34"/>
    <w:qFormat/>
    <w:pPr>
      <w:contextualSpacing/>
      <w:ind w:left="720"/>
      <w:spacing w:after="160" w:line="259" w:lineRule="auto"/>
    </w:pPr>
    <w:rPr>
      <w:rFonts w:ascii="Calibri" w:hAnsi="Calibri" w:eastAsia="Calibri" w:cs="Calibri"/>
      <w:sz w:val="22"/>
      <w:szCs w:val="22"/>
      <w:lang w:val="ru"/>
    </w:rPr>
  </w:style>
  <w:style w:type="paragraph" w:styleId="1167" w:customStyle="1">
    <w:name w:val="paragraph_paragraph__f_jnb"/>
    <w:uiPriority w:val="0"/>
    <w:qFormat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"/>
    </w:rPr>
  </w:style>
  <w:style w:type="character" w:styleId="1168" w:customStyle="1">
    <w:name w:val="Текст сноски Знак"/>
    <w:basedOn w:val="1178"/>
    <w:link w:val="1157"/>
    <w:uiPriority w:val="99"/>
    <w:semiHidden/>
    <w:qFormat/>
    <w:rPr>
      <w:rFonts w:asciiTheme="minorHAnsi" w:hAnsiTheme="minorHAnsi"/>
      <w:sz w:val="20"/>
      <w:szCs w:val="20"/>
    </w:rPr>
  </w:style>
  <w:style w:type="character" w:styleId="1169" w:customStyle="1">
    <w:name w:val="Текст примечания Знак"/>
    <w:basedOn w:val="1178"/>
    <w:link w:val="1155"/>
    <w:uiPriority w:val="99"/>
    <w:semiHidden/>
    <w:qFormat/>
    <w:rPr>
      <w:rFonts w:asciiTheme="minorHAnsi" w:hAnsiTheme="minorHAnsi"/>
      <w:sz w:val="20"/>
      <w:szCs w:val="20"/>
    </w:rPr>
  </w:style>
  <w:style w:type="paragraph" w:styleId="1170">
    <w:name w:val="Heading 2"/>
    <w:basedOn w:val="1148"/>
    <w:next w:val="1148"/>
    <w:uiPriority w:val="9"/>
    <w:semiHidden/>
    <w:unhideWhenUsed/>
    <w:qFormat/>
    <w:pPr>
      <w:keepLines/>
      <w:keepNext/>
      <w:spacing w:before="360" w:after="80"/>
      <w:outlineLvl w:val="1"/>
    </w:pPr>
    <w:rPr>
      <w:b/>
      <w:sz w:val="36"/>
      <w:szCs w:val="36"/>
    </w:rPr>
  </w:style>
  <w:style w:type="character" w:styleId="1171" w:customStyle="1">
    <w:name w:val="Тема примечания Знак"/>
    <w:basedOn w:val="1169"/>
    <w:link w:val="1156"/>
    <w:uiPriority w:val="99"/>
    <w:semiHidden/>
    <w:qFormat/>
    <w:rPr>
      <w:rFonts w:asciiTheme="minorHAnsi" w:hAnsiTheme="minorHAnsi"/>
      <w:b/>
      <w:bCs/>
      <w:sz w:val="20"/>
      <w:szCs w:val="20"/>
    </w:rPr>
  </w:style>
  <w:style w:type="character" w:styleId="1172" w:customStyle="1">
    <w:name w:val="Текст выноски Знак"/>
    <w:basedOn w:val="1178"/>
    <w:link w:val="1154"/>
    <w:uiPriority w:val="99"/>
    <w:semiHidden/>
    <w:qFormat/>
    <w:rPr>
      <w:rFonts w:ascii="Segoe UI" w:hAnsi="Segoe UI" w:cs="Segoe UI"/>
      <w:sz w:val="18"/>
      <w:szCs w:val="18"/>
    </w:rPr>
  </w:style>
  <w:style w:type="paragraph" w:styleId="1173" w:customStyle="1">
    <w:name w:val="Revision"/>
    <w:hidden/>
    <w:uiPriority w:val="99"/>
    <w:semiHidden/>
    <w:qFormat/>
    <w:pPr>
      <w:spacing w:after="0" w:line="240" w:lineRule="auto"/>
    </w:pPr>
    <w:rPr>
      <w:rFonts w:ascii="Calibri" w:hAnsi="Calibri" w:eastAsia="Calibri" w:cs="Calibri"/>
      <w:sz w:val="22"/>
      <w:szCs w:val="22"/>
      <w:lang w:val="ru"/>
    </w:rPr>
  </w:style>
  <w:style w:type="paragraph" w:styleId="1174">
    <w:name w:val="Heading 3"/>
    <w:basedOn w:val="1148"/>
    <w:next w:val="1148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1175">
    <w:name w:val="Heading 4"/>
    <w:basedOn w:val="1148"/>
    <w:next w:val="1148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1176">
    <w:name w:val="Heading 5"/>
    <w:basedOn w:val="1148"/>
    <w:next w:val="1148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1177">
    <w:name w:val="Heading 6"/>
    <w:basedOn w:val="1148"/>
    <w:next w:val="1148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1178" w:default="1">
    <w:name w:val="Default Paragraph Font"/>
    <w:uiPriority w:val="1"/>
    <w:semiHidden/>
    <w:unhideWhenUsed/>
  </w:style>
  <w:style w:type="table" w:styleId="1179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1180">
    <w:name w:val="Table Grid"/>
    <w:basedOn w:val="117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</w:style>
  <w:style w:type="numbering" w:styleId="244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unk1:gDocsCustomXmlDataStorage xmlns:unk1="http://customooxmlschemas.google.com/" uri="GoogleDocsCustomDataVersion2">
  <unk1:docsCustomData roundtripDataSignature="AMtx7mi/07D0sjNzmU83mMonLlM1U79dxQ==">CgMxLjAyDmguczA5anprZmZxY3JiMg5oLm40anEwd3UyN3h6ODgAciExZVJGTjVuZ3JYOFdHaWkwZUlDcWc2ZHdoYnhtWG1COHo=</unk1:docsCustomData>
</unk1:gDocsCustomXmlDataStorage>
</file>

<file path=customXml/itemProps1.xml><?xml version="1.0" encoding="utf-8"?>
<ds:datastoreItem xmlns:ds="http://schemas.openxmlformats.org/officeDocument/2006/customXml" ds:itemID="{00000066-0066-0000-6900-000063000000}"/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Авраменко Евгения Вячеславовна</dc:creator>
  <cp:lastModifiedBy>Лекции Знание</cp:lastModifiedBy>
  <cp:revision>4</cp:revision>
  <dcterms:created xsi:type="dcterms:W3CDTF">2025-09-23T09:36:00Z</dcterms:created>
  <dcterms:modified xsi:type="dcterms:W3CDTF">2026-07-02T10:21:19Z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