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Сценарий мастер-лекции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 «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Правовое регулирование и эффективные механизмы 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противодействия экстремизму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»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/>
      <w:bookmarkStart w:id="0" w:name="_Hlk228959809"/>
      <w:r>
        <w:rPr>
          <w:rFonts w:eastAsia="Times New Roman"/>
          <w:sz w:val="28"/>
          <w:szCs w:val="28"/>
          <w:lang w:eastAsia="ru-RU"/>
          <w14:ligatures w14:val="none"/>
        </w:rPr>
        <w:t xml:space="preserve">Разработано экспертами Национального центра 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  <w:t xml:space="preserve">информационного противодействия терроризму и экстремизму </w:t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  <w:t xml:space="preserve">в образовательной среде и сети Интернет</w:t>
      </w:r>
      <w:bookmarkEnd w:id="0"/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Москва, 202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6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 г.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br w:type="page" w:clear="all"/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pStyle w:val="833"/>
        <w:ind w:firstLine="709"/>
        <w:jc w:val="both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/>
      <w:bookmarkStart w:id="1" w:name="_Hlk217401475"/>
      <w:r/>
      <w:bookmarkStart w:id="2" w:name="_Hlk228966446"/>
      <w:r>
        <w:rPr>
          <w:b/>
          <w:bCs/>
          <w:color w:val="000000"/>
          <w:sz w:val="28"/>
          <w:szCs w:val="28"/>
        </w:rPr>
        <w:t xml:space="preserve">Формируемые ценности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spacing w:line="36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</w:rPr>
        <w:t xml:space="preserve">права и свободы человека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  <w:highlight w:val="white"/>
        </w:rPr>
      </w:r>
    </w:p>
    <w:p>
      <w:pPr>
        <w:pStyle w:val="833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служение Отечеству и ответственность за его судьбу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833"/>
        <w:ind w:firstLine="708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Смысловые направления: </w:t>
      </w:r>
      <w:r>
        <w:rPr>
          <w:color w:val="000000"/>
          <w:sz w:val="28"/>
          <w:szCs w:val="28"/>
        </w:rPr>
        <w:t xml:space="preserve">п</w:t>
      </w:r>
      <w:bookmarkEnd w:id="1"/>
      <w:r>
        <w:rPr>
          <w:sz w:val="28"/>
          <w:szCs w:val="28"/>
        </w:rPr>
        <w:t xml:space="preserve">ротиводействие терроризму, экстремизму и иным деструктивным явлениям.</w:t>
      </w:r>
      <w:bookmarkEnd w:id="2"/>
      <w:r>
        <w:rPr>
          <w:color w:val="000000"/>
          <w:sz w:val="28"/>
          <w:szCs w:val="28"/>
        </w:rPr>
      </w:r>
    </w:p>
    <w:p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  <w:t xml:space="preserve">Слайд 1. Инструкция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Слайд 2. Титульный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Добрый день!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3. Регистрация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Прежде чем мы </w:t>
      </w:r>
      <w:r>
        <w:rPr>
          <w:rFonts w:eastAsia="Times New Roman"/>
          <w:sz w:val="28"/>
          <w:szCs w:val="28"/>
        </w:rPr>
        <w:t xml:space="preserve">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</w:t>
      </w:r>
      <w:r>
        <w:rPr>
          <w:rFonts w:eastAsia="Times New Roman"/>
          <w:sz w:val="28"/>
          <w:szCs w:val="28"/>
        </w:rPr>
        <w:t xml:space="preserve">вашу активность и вовлеченность!</w:t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Слайд 4. Опрос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5. </w:t>
      </w:r>
      <w:r>
        <w:rPr>
          <w:b/>
          <w:bCs/>
          <w:color w:val="000000"/>
          <w:sz w:val="28"/>
          <w:szCs w:val="28"/>
        </w:rPr>
        <w:t xml:space="preserve">О чем сегодня будем говорить?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Противодействие любому общественно опасному деянию выстраивается</w:t>
      </w:r>
      <w:r>
        <w:rPr>
          <w:color w:val="000000"/>
          <w:sz w:val="28"/>
          <w:szCs w:val="28"/>
        </w:rPr>
        <w:t xml:space="preserve"> на основе права. Благодаря правовому регулированию создаются нормы поведения, цель которых — обеспечить защиту прав и свобод человека и безопасность общества и государства. Обращаясь к юриспруденции, следует отметить несколько ключевых черт правовых норм.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6. </w:t>
      </w:r>
      <w:r>
        <w:rPr>
          <w:b/>
          <w:bCs/>
          <w:color w:val="000000"/>
          <w:sz w:val="28"/>
          <w:szCs w:val="28"/>
        </w:rPr>
        <w:t xml:space="preserve">Правовые нормы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Во-первых, это ориентация на всех членов общества, а не на конкретных людей.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Во-вторых, это общеобязательность исполнения, поскольку перед законом все должны быть равны.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В-третьих, это закрепление в конкретных нормативных правовых актах, которые регулируют те или иные отношения.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разговор заходит о противодействии экстремистским угрозам в нашем обществе, важно начинать с правовых аспектов, то есть рассмотрения, какие вообще в России приняты документы для защиты от экстремистской деятельности.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Слайд 7. </w:t>
      </w:r>
      <w:r>
        <w:rPr>
          <w:b/>
          <w:bCs/>
          <w:color w:val="000000"/>
          <w:sz w:val="28"/>
          <w:szCs w:val="28"/>
        </w:rPr>
        <w:t xml:space="preserve">Конституция — основополагающий закон России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Основополагающим нормативно-правовым актом в системе российского антиэкстремистско</w:t>
      </w:r>
      <w:r>
        <w:rPr>
          <w:color w:val="000000"/>
          <w:sz w:val="28"/>
          <w:szCs w:val="28"/>
        </w:rPr>
        <w:t xml:space="preserve">го законодательства является Конституция Российской Федерации. Она закрепляет фундаментальные ценности нашего государства: права и свободы человека, а также равенство вне зависимости от ряда признаков (пола, расы, национальности, религии и т. д.); обеспече</w:t>
      </w:r>
      <w:r>
        <w:rPr>
          <w:color w:val="000000"/>
          <w:sz w:val="28"/>
          <w:szCs w:val="28"/>
        </w:rPr>
        <w:t xml:space="preserve">ние целостности и неприкосновенности территории России; запрет на любые формы дискриминации граждан и на создание организаций, деятельность которых направлена на свержение конституционного строя, подрыв территориальной целостности или разжигание ненависти.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8. </w:t>
      </w:r>
      <w:r>
        <w:rPr>
          <w:b/>
          <w:bCs/>
          <w:color w:val="000000"/>
          <w:sz w:val="28"/>
          <w:szCs w:val="28"/>
        </w:rPr>
        <w:t xml:space="preserve">Федеральный закон «О противодействии экстремистской деятельности»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Далее, исходя из иерархии нормативных правовых актов, следует отметить Федеральный закон от 25 июля 2002 г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114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ФЗ «О противодействии экстремистской деятельности» и Стратегию противодействия экстремизму в Российской Федерации. Разберем каждый из них.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114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ФЗ закладывает основные принципы и направления противодействия экстремизму, а также раскрывает сущность самого явления с правовой точки зрения. Следует отметить, что в указанном нормативно-правовом акте отсутствует легальное определени</w:t>
      </w:r>
      <w:r>
        <w:rPr>
          <w:color w:val="000000"/>
          <w:sz w:val="28"/>
          <w:szCs w:val="28"/>
        </w:rPr>
        <w:t xml:space="preserve">е экстремизма как явления. В то же время законодатель использует «деятельностный подход», определяя сущность экстремизма через призму конкретных противоправных деяний. Таким образом законом закрепляются формы деятельности, в которых проявляется экстремизм.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9. </w:t>
      </w:r>
      <w:r>
        <w:rPr>
          <w:b/>
          <w:bCs/>
          <w:color w:val="000000"/>
          <w:sz w:val="28"/>
          <w:szCs w:val="28"/>
        </w:rPr>
        <w:t xml:space="preserve">Давайте обсудим!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5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Рисунок 3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Какие проявления экстремизма вы знаете?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i/>
          <w:i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10. </w:t>
      </w:r>
      <w:r>
        <w:rPr>
          <w:b/>
          <w:bCs/>
          <w:color w:val="000000"/>
          <w:sz w:val="28"/>
          <w:szCs w:val="28"/>
        </w:rPr>
        <w:t xml:space="preserve">Что относится к экстремистской деятельности?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упомянутом Федеральном законе дано 1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проявлений экстремистской деятельности: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насильственное изменение основ конституционного строя и покушение на территориальную целостность России;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публичное оправдание терроризма;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возбуждение ненависти и вражды по социальному, расовому, национальному или религиозному признаку;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пропаганда идей исключительности и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нарушение прав и свобод человека по принципу языка, религии, национальной принадлежности;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11. </w:t>
      </w:r>
      <w:r>
        <w:rPr>
          <w:b/>
          <w:bCs/>
          <w:color w:val="000000"/>
          <w:sz w:val="28"/>
          <w:szCs w:val="28"/>
        </w:rPr>
        <w:t xml:space="preserve">Что относится к экстремистской деятельности?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воспрепятствование реализации гражданами нашей страны своих избирательных прав;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воспрепятствование деятельности органов власти и местного самоуправления, избирательных комиссий, общественных и религиозных объединений с угрозой или применением насилия;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публичное ложное обвинение государственного лица в совершении преступления экстремистского характера;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демонстрация экстремистской и нацистской символики;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публичные призывы к совершению экстремистской деятельности;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распространение материалов, признанных судом экстремистскими;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организация, подготовка, подстрекательство или финансирование всех указанных действий.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12. </w:t>
      </w:r>
      <w:r>
        <w:rPr>
          <w:b/>
          <w:bCs/>
          <w:color w:val="000000"/>
          <w:sz w:val="28"/>
          <w:szCs w:val="28"/>
        </w:rPr>
        <w:t xml:space="preserve">Экстремистские материалы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Обозначенн</w:t>
      </w:r>
      <w:r>
        <w:rPr>
          <w:color w:val="000000"/>
          <w:sz w:val="28"/>
          <w:szCs w:val="28"/>
        </w:rPr>
        <w:t xml:space="preserve">ый закон также содержит еще один важный термин — экстремистские материалы. Это материалы, в которых благодаря судебно-лингвистической экспертизе были обнаружены, например, призывы к ненависти или вражде по религиозному или национальному признаку, одобрение</w:t>
      </w:r>
      <w:r>
        <w:rPr>
          <w:color w:val="000000"/>
          <w:sz w:val="28"/>
          <w:szCs w:val="28"/>
        </w:rPr>
        <w:t xml:space="preserve"> экстремистской или террористической деятельности и т. д. С целью систематизации экстремистских материалов в Российской Федерации создан Федеральный список экстремистских материалов, оператором которого является Министерство юстиции России. Исключительной </w:t>
      </w:r>
      <w:r>
        <w:rPr>
          <w:color w:val="000000"/>
          <w:sz w:val="28"/>
          <w:szCs w:val="28"/>
        </w:rPr>
        <w:t xml:space="preserve">прерогативой признания того или иного материала экстремистским в Российской Федерации обладает только судебная власть. В свою очередь, заинтересованные лица обладают правом обращения в суд с соответствующими заявлениями о признании материалов экстремистски</w:t>
      </w:r>
      <w:r>
        <w:rPr>
          <w:color w:val="000000"/>
          <w:sz w:val="28"/>
          <w:szCs w:val="28"/>
        </w:rPr>
        <w:t xml:space="preserve">ми. В связи с поправками в законодательстве намеренный поиск в интернете экстремистских материалов теперь является административным правонарушением, за что предусмотрена ответственность в виде штрафа от трех до пяти тысяч рублей согласно ст. 13.53 КоАП РФ.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13. </w:t>
      </w:r>
      <w:r>
        <w:rPr>
          <w:b/>
          <w:bCs/>
          <w:color w:val="000000"/>
          <w:sz w:val="28"/>
          <w:szCs w:val="28"/>
        </w:rPr>
        <w:t xml:space="preserve">Давайте обсудим!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6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Рисунок 3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вы думаете, почему важно ограничивать доступ к подобным материалам?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i/>
          <w:iCs/>
          <w:color w:val="000000"/>
          <w:sz w:val="28"/>
          <w:szCs w:val="28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14. </w:t>
      </w:r>
      <w:r>
        <w:rPr>
          <w:b/>
          <w:bCs/>
          <w:color w:val="000000"/>
          <w:sz w:val="28"/>
          <w:szCs w:val="28"/>
        </w:rPr>
        <w:t xml:space="preserve">Борьба с экстремизмом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Противодействие экстремистским угрозам в России имеет комплексный характер и основывается не только на развитой нормативной базе, но и на накопленной практике по предотвращению угроз.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Борьба с экстремизмом — это работа по трем основным направлениям: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Выявление и устранение причин экстремистской деятельности.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социально-экономические проблемы в виде отсутствия рабочих мест, неудовлетворительного уровня зарплат или неразвитой городской инфраструктуры могут повлиять </w:t>
      </w:r>
      <w:r>
        <w:rPr>
          <w:color w:val="000000"/>
          <w:sz w:val="28"/>
          <w:szCs w:val="28"/>
        </w:rPr>
        <w:t xml:space="preserve">на рост преступности в сфере экстремизма. Или негативные последствия миграционной политики: рост статистики преступлений, совершаемых мигрантами, формирование этнических анклавов, сращивание криминалитета и некоторых представителей региональных органов вла</w:t>
      </w:r>
      <w:r>
        <w:rPr>
          <w:color w:val="000000"/>
          <w:sz w:val="28"/>
          <w:szCs w:val="28"/>
        </w:rPr>
        <w:t xml:space="preserve">сти или правоохранительных структур. Если не устранять данные проблемы, они могут стать катализаторами экстремистской деятельности среди различных социальных групп, например, в контексте миграционной проблематики как среди мигрантов, так и местных жителей.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Профилактические меры среди разных групп населения.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профилактики — разъяснить деструктивную сущность экстремизма и предотвратить вовлечение обычных людей в преступную деятельность.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Непосредственное выявление и пресечение экстремистской деятельности как организаций, так и отдельных физических лиц.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Выявлением и устранением причин экстремистской деятельности должны заниматься органы власти на федеральном и региональном уровнях, а также органы местног</w:t>
      </w:r>
      <w:r>
        <w:rPr>
          <w:color w:val="000000"/>
          <w:sz w:val="28"/>
          <w:szCs w:val="28"/>
        </w:rPr>
        <w:t xml:space="preserve">о самоуправления. Однако проблемы выявляются благодаря адекватно выстроенному мониторингу, который должен проводиться на системной основе. Причем к данному мониторингу привлекаются и научно-исследовательские институты, и экспертные сообщества, и институты </w:t>
      </w:r>
      <w:r>
        <w:rPr>
          <w:color w:val="000000"/>
          <w:sz w:val="28"/>
          <w:szCs w:val="28"/>
        </w:rPr>
        <w:t xml:space="preserve">гражданского общества, что позволяет системно посмотреть на проблему и адекватно подобрать ее решения. Такие решения могут быть оформлены либо как программы мер (например, на региональном уровне по увеличению количества рабочих мест), либо в ф</w:t>
      </w:r>
      <w:r>
        <w:rPr>
          <w:color w:val="000000"/>
          <w:sz w:val="28"/>
          <w:szCs w:val="28"/>
        </w:rPr>
        <w:t xml:space="preserve">ормате законотворчества (например, внесение изменений в определенный федеральный закон и иной документ), либо в перечне профилактических мер (например, по пресечению распространения деструктивных радикальных течений в рамках одной из традиционных религий).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Второе направление — собственно профилактические мероприятия, где разъясняется сущность экстремизма и ответственность за экстремистские преступления. Однако если </w:t>
      </w:r>
      <w:r>
        <w:rPr>
          <w:color w:val="000000"/>
          <w:sz w:val="28"/>
          <w:szCs w:val="28"/>
        </w:rPr>
        <w:t xml:space="preserve">все-таки происходят экстремистские правонарушения, то здесь мы уже говорим о третьем направлении работы — непосредственном выявлении и пресечении экстремистской деятельности организаций и физических лиц. Это уже дело правоохранительных органов и спецслужб.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15. </w:t>
      </w:r>
      <w:r>
        <w:rPr>
          <w:b/>
          <w:bCs/>
          <w:color w:val="000000"/>
          <w:sz w:val="28"/>
          <w:szCs w:val="28"/>
        </w:rPr>
        <w:t xml:space="preserve">Признание организации экстремистской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Пресечение экстремистской деятельности какой-либо организации происходит благодаря признанию самой организации таковой согласно судебном</w:t>
      </w:r>
      <w:r>
        <w:rPr>
          <w:color w:val="000000"/>
          <w:sz w:val="28"/>
          <w:szCs w:val="28"/>
        </w:rPr>
        <w:t xml:space="preserve">у решению, а также противодействию их преступным деяниям. Причем если речь идет про международную организацию, то здесь необходимо решение Верховного Суда Российской Федерации. Предварительно происходит проверка действий организации по следующим критериям: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происходит ли пропаганда ненависти и вражды по какому-либо признаку;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проводятся ли ею незаконные политические акции с призывами к свержению конституционного строя или покушения на территориальную целостность;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происходит ли поддержка организацией или ее руководителями или активистами террористической и экстремистской деятельности в целом, делались ли соответствующие призывы.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16. </w:t>
      </w:r>
      <w:r>
        <w:rPr>
          <w:b/>
          <w:bCs/>
          <w:color w:val="000000"/>
          <w:sz w:val="28"/>
          <w:szCs w:val="28"/>
        </w:rPr>
        <w:t xml:space="preserve">После признания лица или организации экстремистскими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сбора соответствующих д</w:t>
      </w:r>
      <w:r>
        <w:rPr>
          <w:color w:val="000000"/>
          <w:sz w:val="28"/>
          <w:szCs w:val="28"/>
        </w:rPr>
        <w:t xml:space="preserve">оказательств начинается судебное разбирательство, результатом которого становится судебное решение. Если организация признается экстремистской, ее ликвидируют, имущество конфискуется, а руководители и участники привлекаются к уголовной ответственности. В 2</w:t>
      </w:r>
      <w:r>
        <w:rPr>
          <w:color w:val="000000"/>
          <w:sz w:val="28"/>
          <w:szCs w:val="28"/>
        </w:rPr>
        <w:t xml:space="preserve">025 году процедура признания объединений экстремистскими упрощена: теперь достаточно одного соответствующего приговора по ст. 282.1 УК РФ за создание экстремистского сообщества, руководства им или участие в нем в отношении хотя бы одного члена объединения.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Такие организации вносятся в специальный Перечень общественных и религиозных объединений, иных организаций, в отношении которых вступило в законную силу судебное решение о признании их экстремистскими. Перече</w:t>
      </w:r>
      <w:r>
        <w:rPr>
          <w:color w:val="000000"/>
          <w:sz w:val="28"/>
          <w:szCs w:val="28"/>
        </w:rPr>
        <w:t xml:space="preserve">нь ведется на сайте  Минюста России, на конец 2025 года в нем 129 организаций: от псевдорелигиозной организации «Свидетели Иеговы» (экстремистская организация) (причем требовалось признания каждой региональной организации отдельно, нарушающей законодательс</w:t>
      </w:r>
      <w:r>
        <w:rPr>
          <w:color w:val="000000"/>
          <w:sz w:val="28"/>
          <w:szCs w:val="28"/>
        </w:rPr>
        <w:t xml:space="preserve">тво) до движения «СССР» (экстремистская организация), представители которого не признавали факт распада государства в 1991 году, называли Россию «оккупационной колонией США», а также совершали финансовые сделки без уплаты налогов и выдавали свои документы.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Важная задача</w:t>
      </w:r>
      <w:r>
        <w:rPr>
          <w:color w:val="000000"/>
          <w:sz w:val="28"/>
          <w:szCs w:val="28"/>
        </w:rPr>
        <w:t xml:space="preserve"> правоохранительных органов — выявить и предотвратить попытки финансирования экстремистской деятельности. В России контролем финансовых потоков и поиском подозрительных сделок занимается Росфинмониторинг, который в рамках противодействия экстремизму ведет </w:t>
      </w:r>
      <w:r>
        <w:rPr>
          <w:color w:val="000000"/>
          <w:sz w:val="28"/>
          <w:szCs w:val="28"/>
        </w:rPr>
        <w:t xml:space="preserve">специальный список. Это Перечень организаций и физических лиц, в отношении которых имеются сведения об их причастности к экстремистской деятельности или терроризму. Основание для попадания в список — совершение правонарушения экстремистского характера.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17. </w:t>
      </w:r>
      <w:r>
        <w:rPr>
          <w:b/>
          <w:bCs/>
          <w:color w:val="000000"/>
          <w:sz w:val="28"/>
          <w:szCs w:val="28"/>
        </w:rPr>
        <w:t xml:space="preserve">Что происходит с физлицом при попадании в список Росфинмониторинга?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происходит при попадании в этот список?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Осуществляется немедленная блокировка всех банковских счетов и иных финансовых ресурсов. Блокировка происходит по судебному решению о признании физлица виновным в финансировании экстремиз</w:t>
      </w:r>
      <w:r>
        <w:rPr>
          <w:color w:val="000000"/>
          <w:sz w:val="28"/>
          <w:szCs w:val="28"/>
        </w:rPr>
        <w:t xml:space="preserve">ма. Для граждан, попавших в список, разрешены лишь транзакции, необходимые для поддержания минимальной жизнедеятельности: оплата налогов, штрафов и иных неотложных обязательств, а также получение социально значимых выплат (зарплаты, пенсии, пособия и стипе</w:t>
      </w:r>
      <w:r>
        <w:rPr>
          <w:color w:val="000000"/>
          <w:sz w:val="28"/>
          <w:szCs w:val="28"/>
        </w:rPr>
        <w:t xml:space="preserve">ндии). Исключают человека из списка в том случае, если обвинения с него будут сняты или суд вынесет оправдательный приговор. Также закон предусматривает исключение человека из Перечня после того, как с него будет снята судимость по соответствующим статьям.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18. </w:t>
      </w:r>
      <w:r>
        <w:rPr>
          <w:b/>
          <w:bCs/>
          <w:color w:val="000000"/>
          <w:sz w:val="28"/>
          <w:szCs w:val="28"/>
        </w:rPr>
        <w:t xml:space="preserve">Административная ответственность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Немаловажным направлением противоде</w:t>
      </w:r>
      <w:r>
        <w:rPr>
          <w:color w:val="000000"/>
          <w:sz w:val="28"/>
          <w:szCs w:val="28"/>
        </w:rPr>
        <w:t xml:space="preserve">йствия экстремизму является установление уголовной ответственности за преступления экстремистской направленности и административной ответственности за правонарушения социально, что обусловлено неуклонным ростом межнациональных и межрасовых конфликтов, подп</w:t>
      </w:r>
      <w:r>
        <w:rPr>
          <w:color w:val="000000"/>
          <w:sz w:val="28"/>
          <w:szCs w:val="28"/>
        </w:rPr>
        <w:t xml:space="preserve">итываемых проявлениями ненависти и вражды между различными социальными группами; общественной опасностью таких проявлений, состоящей в существенном нарушении основ толерантности в обществе, необходимой для безопасности, стабильности и развития последнего. </w:t>
      </w:r>
      <w:r>
        <w:rPr>
          <w:color w:val="000000"/>
          <w:sz w:val="28"/>
          <w:szCs w:val="28"/>
        </w:rPr>
        <w:t xml:space="preserve">Несмотря на то, что рассматриваемые преступления, как правило, непосредственно зат</w:t>
      </w:r>
      <w:r>
        <w:rPr>
          <w:color w:val="000000"/>
          <w:sz w:val="28"/>
          <w:szCs w:val="28"/>
        </w:rPr>
        <w:t xml:space="preserve">рагивают интересы личности (жизнь, здоровье, достоинство и т. д.), характер их общественной опасности предопределяет в первую очередь нарушение социальных отношений «надличностного» уровня, обеспечивающих межгрупповые терпимость и взаимодействие в социуме.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Административная ответственность наступает за пропаганду и публичное демонстрирование экстремистской символики (ст. 20.3 КоАП РФ); производство и распространение экстремистских материалов (ст. 20.29</w:t>
      </w:r>
      <w:r>
        <w:rPr>
          <w:color w:val="000000"/>
          <w:sz w:val="28"/>
          <w:szCs w:val="28"/>
        </w:rPr>
        <w:t xml:space="preserve"> КоАП РФ); возбуждение ненависти и вражды по национальному или религиозному признаку (ст. 20.3.1 КоАП РФ). За это следует наказание либо в виде штрафов (до 20 000 рублей), либо обязательных работ (до 100 часов), либо административного ареста (до 15 суток).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19. </w:t>
      </w:r>
      <w:r>
        <w:rPr>
          <w:b/>
          <w:bCs/>
          <w:color w:val="000000"/>
          <w:sz w:val="28"/>
          <w:szCs w:val="28"/>
        </w:rPr>
        <w:t xml:space="preserve">Уголовная ответственность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Уголовная является более серьезной формой ответственности, которая предполагается за следующие преступления: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публичные призывы к совершению экстремистской деятельности (ст. 280 УК РФ). Реальный пример: в 2025 году в Астрахани </w:t>
      </w:r>
      <w:r>
        <w:rPr>
          <w:color w:val="000000"/>
          <w:sz w:val="28"/>
          <w:szCs w:val="28"/>
        </w:rPr>
        <w:t xml:space="preserve">вынесен приговор в отношении 22-летнего мужчины, который в мессенджере Telegram под общедоступной публикацией разместил комментарий с призывом к насилию в отношении представителей другого народа. Итог: наказание в виде принудительных работ сроком один год;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20. </w:t>
      </w:r>
      <w:r>
        <w:rPr>
          <w:b/>
          <w:bCs/>
          <w:color w:val="000000"/>
          <w:sz w:val="28"/>
          <w:szCs w:val="28"/>
        </w:rPr>
        <w:t xml:space="preserve">Уголовная ответственность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публичные пр</w:t>
      </w:r>
      <w:r>
        <w:rPr>
          <w:color w:val="000000"/>
          <w:sz w:val="28"/>
          <w:szCs w:val="28"/>
        </w:rPr>
        <w:t xml:space="preserve">изывы к нарушению территориальной целостности России (ст. 280.1 УК РФ). Реальный пример: в 2017 году мужчина из Башкортостана был привлечен к ответственности за общедоступный призыв к нарушению территориальной целостности Российской Федерации и совершению </w:t>
      </w:r>
      <w:r>
        <w:rPr>
          <w:color w:val="000000"/>
          <w:sz w:val="28"/>
          <w:szCs w:val="28"/>
        </w:rPr>
        <w:t xml:space="preserve">экстремистской деятельности. Итог: наказание в виде лишения свободы сроком три года;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21. </w:t>
      </w:r>
      <w:r>
        <w:rPr>
          <w:b/>
          <w:bCs/>
          <w:color w:val="000000"/>
          <w:sz w:val="28"/>
          <w:szCs w:val="28"/>
        </w:rPr>
        <w:t xml:space="preserve">Уголовная ответственность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</w:t>
      </w:r>
      <w:r>
        <w:rPr>
          <w:color w:val="000000"/>
          <w:sz w:val="28"/>
          <w:szCs w:val="28"/>
        </w:rPr>
        <w:t xml:space="preserve">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Интернет, совершенные лицом п</w:t>
      </w:r>
      <w:r>
        <w:rPr>
          <w:color w:val="000000"/>
          <w:sz w:val="28"/>
          <w:szCs w:val="28"/>
        </w:rPr>
        <w:t xml:space="preserve">осле его привлечения к административной ответственности за аналогичное деяние в течение одного года (ч. 1 ст. 282 УК РФ). Реальный пример: в начале марта 2023 года стример во время прямой видеотрансляции, которую проводил в состоянии алкогольного опьянения</w:t>
      </w:r>
      <w:r>
        <w:rPr>
          <w:rStyle w:val="841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 xml:space="preserve">, негативно отозвался о Боге и верующих гражданах. При этом во время высказывания он использовал н</w:t>
      </w:r>
      <w:r>
        <w:rPr>
          <w:color w:val="000000"/>
          <w:sz w:val="28"/>
          <w:szCs w:val="28"/>
        </w:rPr>
        <w:t xml:space="preserve">енормативную лексику. По данным суда, блогер также в апреле текущего года с неприязнью прокомментировал свое отношение к пожилым людям. Был привлечен к ответственности по ч. 1 ст. 148, ч. 1 ст. 282 УК РФ, осужден на 2,5 года пребывания в колонии-поселении;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Уголовная ответственность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организация экстремистского сообщества (ст. 282.1 УК РФ) и организация деятельности экстремистс</w:t>
      </w:r>
      <w:r>
        <w:rPr>
          <w:color w:val="000000"/>
          <w:sz w:val="28"/>
          <w:szCs w:val="28"/>
        </w:rPr>
        <w:t xml:space="preserve">кой организации (ст. 282.2 УК РФ). Реальный пример: в 2022 году следственным управлением Следственного комитета Российской Федерации по Пермскому краю возбуждено уголовное дело по ч. 2 ст. 282.2 УК РФ (участие в деятельности экстремистской организации). В </w:t>
      </w:r>
      <w:r>
        <w:rPr>
          <w:color w:val="000000"/>
          <w:sz w:val="28"/>
          <w:szCs w:val="28"/>
        </w:rPr>
        <w:t xml:space="preserve">2024 году уголовное дело по ч. 2 ст. 282.2 УК РФ направлено в суд, который вынес обвинительный приговор;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Уголовная ответственность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финансирование экстремистской деятельности (ст. 282.3 УК РФ). Реальный пример: в 2021 году житель Саратовской области совершил денежное пожертвование в 200 рублей организации, чья деятельность признана экстремистской. Приговор</w:t>
      </w:r>
      <w:r>
        <w:rPr>
          <w:color w:val="000000"/>
          <w:sz w:val="28"/>
          <w:szCs w:val="28"/>
        </w:rPr>
        <w:t xml:space="preserve">ом суда мужчина признан виновным в совершении преступления, предусмотренного ч. 1 ст. 282.3 Уголовного кодекса Российской Федерации, с назначением наказания с применением ст. 64 Уголовного кодекса Российской Федерации в виде штрафа в размере 50 000 рублей;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24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Уголовная ответственность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реабилитация нацизма (ст. 354.1. УК РФ), что предполагает отрицание преступной сущности идеологии нацизма, попытки оправдания преступлений нацистов и их пособников в годы Великой Отече</w:t>
      </w:r>
      <w:r>
        <w:rPr>
          <w:color w:val="000000"/>
          <w:sz w:val="28"/>
          <w:szCs w:val="28"/>
        </w:rPr>
        <w:t xml:space="preserve">ственной войны. Реальный пример:  в 2021–2022 годах подсудимый в одной из социальных сетей разместил текстовые комментарии, оправдывающие идеологию фашизма и нацизма, преступления, совершенные фашистской Германией, а также отрицающие факты, установленные п</w:t>
      </w:r>
      <w:r>
        <w:rPr>
          <w:color w:val="000000"/>
          <w:sz w:val="28"/>
          <w:szCs w:val="28"/>
        </w:rPr>
        <w:t xml:space="preserve">риговором Международного военного трибунала. Приговором суда подсудимому назначено наказание в виде штрафа в размере двух миллионов рублей. С учетом времени пребывания фигуранта под стражей, суд принял решение о снижении размера штрафа до 400 тысяч рублей.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25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Последствия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Максимальное наказание за преступления экстремистской направленности — лишение свободы сроком до десяти лет. Следует понимать, что уголовная ответственность за экстремистскую деятельность предусмотрена по причине </w:t>
      </w:r>
      <w:r>
        <w:rPr>
          <w:color w:val="000000"/>
          <w:sz w:val="28"/>
          <w:szCs w:val="28"/>
        </w:rPr>
        <w:t xml:space="preserve">высокого уровня ее угрозы для национальной безопасности страны и общества, поскольку может приводить к геноциду либо свержению государства.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Подведем определенный итог нашей лекции. Для борьбы с экстремизмом как общественно опасным явлением в России выстроена сложная система, в которую входят и законо</w:t>
      </w:r>
      <w:r>
        <w:rPr>
          <w:color w:val="000000"/>
          <w:sz w:val="28"/>
          <w:szCs w:val="28"/>
        </w:rPr>
        <w:t xml:space="preserve">дательные аспекты, и мониторинг и решение проблем как факторов экстремистской деятельности, и профилактические методики для защиты населения от вовлечения в преступную деятельность. Каждый из нас всегда должен помнить — любые действия имеют последствия, в </w:t>
      </w:r>
      <w:r>
        <w:rPr>
          <w:color w:val="000000"/>
          <w:sz w:val="28"/>
          <w:szCs w:val="28"/>
        </w:rPr>
        <w:t xml:space="preserve">том числе правовые. Для того чтобы гармонично развивать свой потенциал и реализовывать поставленные цели, не следует нарушать действующее законодательство, поскольку тем самым человек не только нарушает правила, но и наносит своей жизни непоправимый ущерб.</w:t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26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Финальный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слушатели! Мы подошли к фи</w:t>
      </w:r>
      <w:r>
        <w:rPr>
          <w:color w:val="000000"/>
          <w:sz w:val="28"/>
          <w:szCs w:val="28"/>
        </w:rPr>
        <w:t xml:space="preserve">налу сегодняшней лекции. Надеюсь, материал оказался полезным и интересным, позволил вам расширить кругозор и глубже разобраться в изучаемой теме. Если у вас остались какие-либо вопросы, мы всегда готовы их обсудить, в том числе на последующих мероприятиях.</w:t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Нам очень важно ваше мнение, поэтому прошу вас отсканировать </w:t>
      </w:r>
      <w:r>
        <w:rPr>
          <w:rFonts w:eastAsia="Times New Roman"/>
          <w:sz w:val="28"/>
          <w:szCs w:val="28"/>
        </w:rPr>
        <w:t xml:space="preserve">QR-код</w:t>
      </w:r>
      <w:r>
        <w:rPr>
          <w:color w:val="000000"/>
          <w:sz w:val="28"/>
          <w:szCs w:val="28"/>
        </w:rPr>
        <w:t xml:space="preserve">, который вы видите на экране, и ответить на несколько коротких вопросов о нашей сегодняшней встрече.</w:t>
      </w:r>
      <w:r>
        <w:rPr>
          <w:color w:val="000000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  <w:t xml:space="preserve">Слайд 27. Полезные ссылки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0512604"/>
      <w:docPartObj>
        <w:docPartGallery w:val="Page Numbers (Bottom of Page)"/>
        <w:docPartUnique w:val="true"/>
      </w:docPartObj>
      <w:rPr/>
    </w:sdtPr>
    <w:sdtContent>
      <w:p>
        <w:pPr>
          <w:pStyle w:val="829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39"/>
        <w:rPr>
          <w:lang w:val="en-US"/>
        </w:rPr>
      </w:pPr>
      <w:r>
        <w:rPr>
          <w:rStyle w:val="841"/>
        </w:rPr>
        <w:footnoteRef/>
      </w:r>
      <w:r>
        <w:t xml:space="preserve"> </w:t>
      </w:r>
      <w:r>
        <w:t xml:space="preserve">В соответствии с законодательством РФ, употребление алкогольной продукции лицами, не достигшими 18-летнего возраста, запрещено. Алкоголь вредит вашему здоровью</w:t>
      </w:r>
      <w:r>
        <w:rPr>
          <w:lang w:val="en-US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1" name="Рисунок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2" name="Рисунок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  <w:p>
    <w:pPr>
      <w:pStyle w:val="827"/>
      <w:ind w:firstLine="0"/>
      <w:jc w:val="center"/>
      <w:rPr>
        <w:i/>
        <w:iCs/>
      </w:rPr>
    </w:pPr>
    <w:r>
      <w:rPr>
        <w:i/>
        <w:iCs/>
      </w:rPr>
    </w:r>
    <w:r>
      <w:rPr>
        <w:i/>
        <w:iCs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3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  <w:p>
    <w:pPr>
      <w:pStyle w:val="827"/>
      <w:ind w:firstLine="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  <w:num w:numId="14">
    <w:abstractNumId w:val="16"/>
  </w:num>
  <w:num w:numId="15">
    <w:abstractNumId w:val="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sz w:val="24"/>
        <w:szCs w:val="24"/>
        <w:lang w:val="ru-RU" w:eastAsia="ja-JP" w:bidi="ar-SA"/>
        <w14:ligatures w14:val="standardContextual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04"/>
    <w:link w:val="79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04"/>
    <w:link w:val="79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04"/>
    <w:link w:val="79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04"/>
    <w:link w:val="79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04"/>
    <w:link w:val="79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04"/>
    <w:link w:val="80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04"/>
    <w:link w:val="8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04"/>
    <w:link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04"/>
    <w:link w:val="803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04"/>
    <w:link w:val="816"/>
    <w:uiPriority w:val="10"/>
    <w:rPr>
      <w:sz w:val="48"/>
      <w:szCs w:val="48"/>
    </w:rPr>
  </w:style>
  <w:style w:type="character" w:styleId="37">
    <w:name w:val="Subtitle Char"/>
    <w:basedOn w:val="804"/>
    <w:link w:val="818"/>
    <w:uiPriority w:val="11"/>
    <w:rPr>
      <w:sz w:val="24"/>
      <w:szCs w:val="24"/>
    </w:rPr>
  </w:style>
  <w:style w:type="character" w:styleId="39">
    <w:name w:val="Quote Char"/>
    <w:link w:val="820"/>
    <w:uiPriority w:val="29"/>
    <w:rPr>
      <w:i/>
    </w:rPr>
  </w:style>
  <w:style w:type="character" w:styleId="41">
    <w:name w:val="Intense Quote Char"/>
    <w:link w:val="824"/>
    <w:uiPriority w:val="30"/>
    <w:rPr>
      <w:i/>
    </w:rPr>
  </w:style>
  <w:style w:type="character" w:styleId="43">
    <w:name w:val="Header Char"/>
    <w:basedOn w:val="804"/>
    <w:link w:val="827"/>
    <w:uiPriority w:val="99"/>
  </w:style>
  <w:style w:type="character" w:styleId="45">
    <w:name w:val="Footer Char"/>
    <w:basedOn w:val="804"/>
    <w:link w:val="829"/>
    <w:uiPriority w:val="99"/>
  </w:style>
  <w:style w:type="paragraph" w:styleId="46">
    <w:name w:val="Caption"/>
    <w:basedOn w:val="794"/>
    <w:next w:val="7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29"/>
    <w:uiPriority w:val="99"/>
  </w:style>
  <w:style w:type="table" w:styleId="48">
    <w:name w:val="Table Grid"/>
    <w:basedOn w:val="8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8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39"/>
    <w:uiPriority w:val="99"/>
    <w:rPr>
      <w:sz w:val="18"/>
    </w:rPr>
  </w:style>
  <w:style w:type="paragraph" w:styleId="178">
    <w:name w:val="endnote text"/>
    <w:basedOn w:val="7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04"/>
    <w:uiPriority w:val="99"/>
    <w:semiHidden/>
    <w:unhideWhenUsed/>
    <w:rPr>
      <w:vertAlign w:val="superscript"/>
    </w:rPr>
  </w:style>
  <w:style w:type="paragraph" w:styleId="181">
    <w:name w:val="toc 1"/>
    <w:basedOn w:val="794"/>
    <w:next w:val="7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94"/>
    <w:next w:val="7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94"/>
    <w:next w:val="7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94"/>
    <w:next w:val="7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94"/>
    <w:next w:val="7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94"/>
    <w:next w:val="7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94"/>
    <w:next w:val="7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94"/>
    <w:next w:val="7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94"/>
    <w:next w:val="7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94"/>
    <w:next w:val="794"/>
    <w:uiPriority w:val="99"/>
    <w:unhideWhenUsed/>
    <w:pPr>
      <w:spacing w:after="0" w:afterAutospacing="0"/>
    </w:pPr>
  </w:style>
  <w:style w:type="paragraph" w:styleId="794" w:default="1">
    <w:name w:val="Normal"/>
    <w:qFormat/>
  </w:style>
  <w:style w:type="paragraph" w:styleId="795">
    <w:name w:val="Heading 1"/>
    <w:basedOn w:val="794"/>
    <w:next w:val="794"/>
    <w:link w:val="807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96">
    <w:name w:val="Heading 2"/>
    <w:basedOn w:val="794"/>
    <w:next w:val="794"/>
    <w:link w:val="808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97">
    <w:name w:val="Heading 3"/>
    <w:basedOn w:val="794"/>
    <w:next w:val="794"/>
    <w:link w:val="809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798">
    <w:name w:val="Heading 4"/>
    <w:basedOn w:val="794"/>
    <w:next w:val="794"/>
    <w:link w:val="810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799">
    <w:name w:val="Heading 5"/>
    <w:basedOn w:val="794"/>
    <w:next w:val="794"/>
    <w:link w:val="811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800">
    <w:name w:val="Heading 6"/>
    <w:basedOn w:val="794"/>
    <w:next w:val="794"/>
    <w:link w:val="812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801">
    <w:name w:val="Heading 7"/>
    <w:basedOn w:val="794"/>
    <w:next w:val="794"/>
    <w:link w:val="813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02">
    <w:name w:val="Heading 8"/>
    <w:basedOn w:val="794"/>
    <w:next w:val="794"/>
    <w:link w:val="814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803">
    <w:name w:val="Heading 9"/>
    <w:basedOn w:val="794"/>
    <w:next w:val="794"/>
    <w:link w:val="815"/>
    <w:uiPriority w:val="9"/>
    <w:semiHidden/>
    <w:unhideWhenUsed/>
    <w:qFormat/>
    <w:pPr>
      <w:keepLines/>
      <w:keepNext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804" w:default="1">
    <w:name w:val="Default Paragraph Font"/>
    <w:uiPriority w:val="1"/>
    <w:semiHidden/>
    <w:unhideWhenUsed/>
  </w:style>
  <w:style w:type="table" w:styleId="8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6" w:default="1">
    <w:name w:val="No List"/>
    <w:uiPriority w:val="99"/>
    <w:semiHidden/>
    <w:unhideWhenUsed/>
  </w:style>
  <w:style w:type="character" w:styleId="807" w:customStyle="1">
    <w:name w:val="Заголовок 1 Знак"/>
    <w:basedOn w:val="804"/>
    <w:link w:val="795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08" w:customStyle="1">
    <w:name w:val="Заголовок 2 Знак"/>
    <w:basedOn w:val="804"/>
    <w:link w:val="796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09" w:customStyle="1">
    <w:name w:val="Заголовок 3 Знак"/>
    <w:basedOn w:val="804"/>
    <w:link w:val="797"/>
    <w:uiPriority w:val="9"/>
    <w:semiHidden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810" w:customStyle="1">
    <w:name w:val="Заголовок 4 Знак"/>
    <w:basedOn w:val="804"/>
    <w:link w:val="798"/>
    <w:uiPriority w:val="9"/>
    <w:semiHidden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811" w:customStyle="1">
    <w:name w:val="Заголовок 5 Знак"/>
    <w:basedOn w:val="804"/>
    <w:link w:val="799"/>
    <w:uiPriority w:val="9"/>
    <w:semiHidden/>
    <w:rPr>
      <w:rFonts w:asciiTheme="minorHAnsi" w:hAnsiTheme="minorHAnsi" w:eastAsiaTheme="majorEastAsia" w:cstheme="majorBidi"/>
      <w:color w:val="0f4761" w:themeColor="accent1" w:themeShade="BF"/>
    </w:rPr>
  </w:style>
  <w:style w:type="character" w:styleId="812" w:customStyle="1">
    <w:name w:val="Заголовок 6 Знак"/>
    <w:basedOn w:val="804"/>
    <w:link w:val="800"/>
    <w:uiPriority w:val="9"/>
    <w:semiHidden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813" w:customStyle="1">
    <w:name w:val="Заголовок 7 Знак"/>
    <w:basedOn w:val="804"/>
    <w:link w:val="801"/>
    <w:uiPriority w:val="9"/>
    <w:semiHidden/>
    <w:rPr>
      <w:rFonts w:asciiTheme="minorHAnsi" w:hAnsiTheme="minorHAnsi" w:eastAsiaTheme="majorEastAsia" w:cstheme="majorBidi"/>
      <w:color w:val="595959" w:themeColor="text1" w:themeTint="A6"/>
    </w:rPr>
  </w:style>
  <w:style w:type="character" w:styleId="814" w:customStyle="1">
    <w:name w:val="Заголовок 8 Знак"/>
    <w:basedOn w:val="804"/>
    <w:link w:val="802"/>
    <w:uiPriority w:val="9"/>
    <w:semiHidden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815" w:customStyle="1">
    <w:name w:val="Заголовок 9 Знак"/>
    <w:basedOn w:val="804"/>
    <w:link w:val="803"/>
    <w:uiPriority w:val="9"/>
    <w:semiHidden/>
    <w:rPr>
      <w:rFonts w:asciiTheme="minorHAnsi" w:hAnsiTheme="minorHAnsi" w:eastAsiaTheme="majorEastAsia" w:cstheme="majorBidi"/>
      <w:color w:val="272727" w:themeColor="text1" w:themeTint="D8"/>
    </w:rPr>
  </w:style>
  <w:style w:type="paragraph" w:styleId="816">
    <w:name w:val="Title"/>
    <w:basedOn w:val="794"/>
    <w:next w:val="794"/>
    <w:link w:val="817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17" w:customStyle="1">
    <w:name w:val="Заголовок Знак"/>
    <w:basedOn w:val="804"/>
    <w:link w:val="81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18">
    <w:name w:val="Subtitle"/>
    <w:basedOn w:val="794"/>
    <w:next w:val="794"/>
    <w:link w:val="819"/>
    <w:uiPriority w:val="11"/>
    <w:qFormat/>
    <w:pPr>
      <w:numPr>
        <w:ilvl w:val="1"/>
      </w:numPr>
      <w:ind w:firstLine="709"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819" w:customStyle="1">
    <w:name w:val="Подзаголовок Знак"/>
    <w:basedOn w:val="804"/>
    <w:link w:val="818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820">
    <w:name w:val="Quote"/>
    <w:basedOn w:val="794"/>
    <w:next w:val="794"/>
    <w:link w:val="821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character" w:styleId="821" w:customStyle="1">
    <w:name w:val="Цитата 2 Знак"/>
    <w:basedOn w:val="804"/>
    <w:link w:val="820"/>
    <w:uiPriority w:val="29"/>
    <w:rPr>
      <w:i/>
      <w:iCs/>
      <w:color w:val="404040" w:themeColor="text1" w:themeTint="BF"/>
    </w:rPr>
  </w:style>
  <w:style w:type="paragraph" w:styleId="822">
    <w:name w:val="List Paragraph"/>
    <w:basedOn w:val="794"/>
    <w:uiPriority w:val="34"/>
    <w:qFormat/>
    <w:pPr>
      <w:contextualSpacing/>
      <w:ind w:left="720"/>
    </w:pPr>
  </w:style>
  <w:style w:type="character" w:styleId="823">
    <w:name w:val="Intense Emphasis"/>
    <w:basedOn w:val="804"/>
    <w:uiPriority w:val="21"/>
    <w:qFormat/>
    <w:rPr>
      <w:i/>
      <w:iCs/>
      <w:color w:val="0f4761" w:themeColor="accent1" w:themeShade="BF"/>
    </w:rPr>
  </w:style>
  <w:style w:type="paragraph" w:styleId="824">
    <w:name w:val="Intense Quote"/>
    <w:basedOn w:val="794"/>
    <w:next w:val="794"/>
    <w:link w:val="825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25" w:customStyle="1">
    <w:name w:val="Выделенная цитата Знак"/>
    <w:basedOn w:val="804"/>
    <w:link w:val="824"/>
    <w:uiPriority w:val="30"/>
    <w:rPr>
      <w:i/>
      <w:iCs/>
      <w:color w:val="0f4761" w:themeColor="accent1" w:themeShade="BF"/>
    </w:rPr>
  </w:style>
  <w:style w:type="character" w:styleId="826">
    <w:name w:val="Intense Reference"/>
    <w:basedOn w:val="804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27">
    <w:name w:val="Header"/>
    <w:basedOn w:val="794"/>
    <w:link w:val="8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8" w:customStyle="1">
    <w:name w:val="Верхний колонтитул Знак"/>
    <w:basedOn w:val="804"/>
    <w:link w:val="827"/>
    <w:uiPriority w:val="99"/>
  </w:style>
  <w:style w:type="paragraph" w:styleId="829">
    <w:name w:val="Footer"/>
    <w:basedOn w:val="794"/>
    <w:link w:val="8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0" w:customStyle="1">
    <w:name w:val="Нижний колонтитул Знак"/>
    <w:basedOn w:val="804"/>
    <w:link w:val="829"/>
    <w:uiPriority w:val="99"/>
  </w:style>
  <w:style w:type="character" w:styleId="831">
    <w:name w:val="Hyperlink"/>
    <w:basedOn w:val="804"/>
    <w:uiPriority w:val="99"/>
    <w:unhideWhenUsed/>
    <w:rPr>
      <w:color w:val="467886" w:themeColor="hyperlink"/>
      <w:u w:val="single"/>
    </w:rPr>
  </w:style>
  <w:style w:type="character" w:styleId="832">
    <w:name w:val="Unresolved Mention"/>
    <w:basedOn w:val="804"/>
    <w:uiPriority w:val="99"/>
    <w:semiHidden/>
    <w:unhideWhenUsed/>
    <w:rPr>
      <w:color w:val="605e5c"/>
      <w:shd w:val="clear" w:color="auto" w:fill="e1dfdd"/>
    </w:rPr>
  </w:style>
  <w:style w:type="paragraph" w:styleId="833">
    <w:name w:val="Normal (Web)"/>
    <w:basedOn w:val="794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lang w:eastAsia="ru-RU"/>
      <w14:ligatures w14:val="none"/>
    </w:rPr>
  </w:style>
  <w:style w:type="character" w:styleId="834">
    <w:name w:val="annotation reference"/>
    <w:basedOn w:val="804"/>
    <w:uiPriority w:val="99"/>
    <w:semiHidden/>
    <w:unhideWhenUsed/>
    <w:rPr>
      <w:sz w:val="16"/>
      <w:szCs w:val="16"/>
    </w:rPr>
  </w:style>
  <w:style w:type="paragraph" w:styleId="835">
    <w:name w:val="annotation text"/>
    <w:basedOn w:val="794"/>
    <w:link w:val="836"/>
    <w:uiPriority w:val="99"/>
    <w:semiHidden/>
    <w:unhideWhenUsed/>
    <w:rPr>
      <w:sz w:val="20"/>
      <w:szCs w:val="20"/>
    </w:rPr>
  </w:style>
  <w:style w:type="character" w:styleId="836" w:customStyle="1">
    <w:name w:val="Текст примечания Знак"/>
    <w:basedOn w:val="804"/>
    <w:link w:val="835"/>
    <w:uiPriority w:val="99"/>
    <w:semiHidden/>
    <w:rPr>
      <w:sz w:val="20"/>
      <w:szCs w:val="20"/>
    </w:rPr>
  </w:style>
  <w:style w:type="paragraph" w:styleId="837">
    <w:name w:val="annotation subject"/>
    <w:basedOn w:val="835"/>
    <w:next w:val="835"/>
    <w:link w:val="838"/>
    <w:uiPriority w:val="99"/>
    <w:semiHidden/>
    <w:unhideWhenUsed/>
    <w:rPr>
      <w:b/>
      <w:bCs/>
    </w:rPr>
  </w:style>
  <w:style w:type="character" w:styleId="838" w:customStyle="1">
    <w:name w:val="Тема примечания Знак"/>
    <w:basedOn w:val="836"/>
    <w:link w:val="837"/>
    <w:uiPriority w:val="99"/>
    <w:semiHidden/>
    <w:rPr>
      <w:b/>
      <w:bCs/>
      <w:sz w:val="20"/>
      <w:szCs w:val="20"/>
    </w:rPr>
  </w:style>
  <w:style w:type="paragraph" w:styleId="839">
    <w:name w:val="footnote text"/>
    <w:basedOn w:val="794"/>
    <w:link w:val="840"/>
    <w:uiPriority w:val="99"/>
    <w:semiHidden/>
    <w:unhideWhenUsed/>
    <w:rPr>
      <w:sz w:val="20"/>
      <w:szCs w:val="20"/>
    </w:rPr>
  </w:style>
  <w:style w:type="character" w:styleId="840" w:customStyle="1">
    <w:name w:val="Текст сноски Знак"/>
    <w:basedOn w:val="804"/>
    <w:link w:val="839"/>
    <w:uiPriority w:val="99"/>
    <w:semiHidden/>
    <w:rPr>
      <w:sz w:val="20"/>
      <w:szCs w:val="20"/>
    </w:rPr>
  </w:style>
  <w:style w:type="character" w:styleId="841">
    <w:name w:val="footnote reference"/>
    <w:basedOn w:val="804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8190-E964-466A-B2F3-432F0047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Гамалей Максим Сергеевич</dc:creator>
  <cp:keywords/>
  <dc:description/>
  <cp:lastModifiedBy>Юлия Лазутина</cp:lastModifiedBy>
  <cp:revision>31</cp:revision>
  <dcterms:created xsi:type="dcterms:W3CDTF">2025-07-07T10:53:00Z</dcterms:created>
  <dcterms:modified xsi:type="dcterms:W3CDTF">2026-05-12T13:57:25Z</dcterms:modified>
</cp:coreProperties>
</file>