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Правовые основы и методы противодействия неонацизму в России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Разработано экспертами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Национального центра информационного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противодействия терроризму и экстремизму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образовательной среде и сети Интернет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Цель: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сформировать представление о правовых основах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метод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противодействия неонацизму в России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Рассмотреть сущность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понятия «неонацизм» как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одной из фундаментальных угроз для безопасности России и ее граждан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2. Способствовать пониманию предпосылок возникновения неонацизма и его соотношением с проявлениями германского нацизма в период Великой Отечественной войны.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3. Рассмотреть ю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ридические меры противодействия неонацизму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4. Изучить специфику просветительской и воспитательной работы как значимых инструментов по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противодействи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неонацистским проявлениям в России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атриотизм;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ражданственность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рава и свободы человека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771"/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ротиводействие терроризму, экстремизму и иным деструктивным явлениям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71"/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сторическое просвещение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минут.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студенты, работающая молодежь, родители школьников, пожилые, госслужащие, просветители, мигранты.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+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Тип методического материала: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сценарий, презентация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0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Чтобы сделать нашу встречу 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полезнее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, предлагаю вам пройти быструю регистрацию. Для этого отсканируйте QR-код, который вы видите на экране. Это займет не больше минуты, но позволит вам полноценно участвовать в дальнейшем обсуждении темы.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3.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О чем сегодня будем говорить?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/>
      <w:bookmarkStart w:id="0" w:name="_heading=h.jdervn24amaj"/>
      <w:r/>
      <w:bookmarkEnd w:id="0"/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Сегодня неонацизм стал одной из фундаментальных угроз для безопасности России и ее граждан, проявляясь в форме радикальной ксенофобии, экстремистской пропаганды и актов насилия на на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циональной почве. Неонацизм — это не просто призрак прошлого из XX столетия; это реальный вызов, на который государство и общество вынуждены реагировать самыми решительными мерами. Его современная опасность кроется в адаптации к цифровой среде, где через з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акрытые интернет-сообщества и социальные сети вербуется молодежь, уязвимая для манипуляций. Идеология радикального превосходства целенаправленно подрывает основы российского государства, что требует решительного ответа со стороны общества и органов власти.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4.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Вопрос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bCs/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 вы думаете, что такое нацизм?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 он проявлялся в ХХ столетии?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Какую политику проводили нацисты в отношении неугодных народов?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5.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Корни неонацизма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Корни неонацизма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разумеется, находятся в прошлом столетии, когда относительно недолго существовала гитлеровская Германия, а также ее союзники по блоку «Ось Берлин — Рим — Токио». Неонацизм перенял от своего предшественника германского нацизма несколько ключевых аспектов: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71"/>
        <w:numPr>
          <w:ilvl w:val="0"/>
          <w:numId w:val="7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идею ненависти в отношении определенных народов и целых рас;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71"/>
        <w:numPr>
          <w:ilvl w:val="0"/>
          <w:numId w:val="7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идею превосходства отдельных национальных групп и целых народов над остальными;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71"/>
        <w:numPr>
          <w:ilvl w:val="0"/>
          <w:numId w:val="7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идею о возможности применения насилия к «недоразвитым» группам, вплоть до частичного или полного их уничтожения;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71"/>
        <w:numPr>
          <w:ilvl w:val="0"/>
          <w:numId w:val="7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визуальные элементы, в частности, свастику, рунические символы дивизий СС и некоторые другие.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Ранее была ошибочная мысль, что неонацизм — это исключительно повторение нацизма, свойственное только конкретным народам на основе опыта Второй мирово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войны. Такая мысль мешала распознать проявления неонацистского характера в других местах, в частности на бывшем постсоветском пространстве. Долгое время считалось, что поскольку именно народы СССР понесли наибольшие потери от действий германских нацистов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их союзников, то и явления неонацизма не смогут закрепиться в этих обществах и государствах. Однако современные события показали нам возможность проникновения идеи о превосходстве одних над другими с последующим применением насилия в разных частях мира.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/>
      <w:bookmarkStart w:id="1" w:name="_Hlk228965737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6.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247650"/>
                <wp:effectExtent l="0" t="0" r="9525" b="0"/>
                <wp:docPr id="6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4.75pt;height:19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Какие современные проявления неонацизма вы можете назвать?</w:t>
      </w:r>
      <w:bookmarkEnd w:id="1"/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i/>
          <w:iCs/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Какую опасность они несут для современной России?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7.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Актуальные примеры проявления неонацизма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Среди актуальных примеров выделяются последствия государственного переворота на Украине в 2014 году с приходом сторонников украинского национализма к власти и последующие кар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ательные меры в отношении русских и русскоязычных украинцев, которые не согласились с произошедшим в стране. Безусловно, среди русскоязычных и даже русских Украины нашлись сторонники украинского национализма (кто-то поддерживает идейно, кто-то — исходя из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финансовых выгод, кто-то получил статус в государстве и обществе), однако сейчас этот национализм вынуждает их отказываться от родного языка и переходить на другой. Другой яркий пример — это военные действия руководства Израиля в отношении жителей сектора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Газа, которые граничат с практиками геноцида. При этом часть представителей израильского руководства заявляют, что такими действиями они стремятся предотвратить «новый Холокост» (массовое истребление евреев со стороны нацистов в годы Второй мировой войны).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8.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А разве в России нет идей национализма и неонацизма?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 России распространение идей национального превосходства произошло после распада СССР. Единая государственная идеология ушла в прошлое, и образовался вакуум, который стремились заполнить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различные общественно-политические силы. В 1990-е годы Россия столкнулась с угрозой сепаратизма в различных субъектах. С другой стороны, появилось движение «скинхедов», применявших насилие в отношении иностранцев и выходцев из национальных регионов России.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9.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Яркий пример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Отдельной проблемой стали попытки пересмотра некоторых страниц истории Великой Отечественной войны: от заявлений ряда общественных деятелей, признанных впоследствии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иноагентами, о том, что Ленинград можно было сдать вермахту и в принципе от поражения в войне с Германией советский народ мог только выиграть, до попыток реабилитации пособников нацистов. Ярким примером стала попытка реабилитации советского военачальника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Андрея Власова, перешедшего на сторону Германии и сформировавшего для нее «Русскую освободительную армию» для «борьбы с большевизмом». Еще один пример — попытки оправдания донского казачьего атамана Петра Краснова, который поддержал гитлеровскую армию и сф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ормировал для нее кавалерийские части из числа бывших подданных Российской империи, а также некоторых граждан СССР. Ключевая мысль всех этих попыток, что советский режим был гораздо хуже гитлеровской оккупации. К тому же, по их мнению, идеи превосходства о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тдельных народов не являются чем-то предосудительным, в конечном итоге в истории всегда есть те, кто правит, и те, кто подчиняется. Такую же модель властных взаимоотношений в обществе националисты и неонацисты пытаются перенести на взаимоотношения народов.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10.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Негативный пример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Тут сразу следует провести черту. Есть государства и цивили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зации, которые понимают необходимость выравнивания условий и возможностей для разных народов внутри себя, не ставя кого-то на пьедестал. При этом государство осознает, что определенные практики в некоторых регионах должны быть ликвидированы. Пример — практ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ика работорговли, которая существовала в Средней Азии в XIX веке и с которой активно боролись войска Российской империи. А есть примеры государств и империй, которые возводили в абсолют идею превосходства. Например, Германская империя перед Первой мировой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войной уже совершала 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кты геноцида в африканской Намибии. А бельгийский король Леопольд II, прослывший в Европе меценатом и добродетелем, создал на территории африканского Конго целую систему истязаний и убийств местного населения, чтобы мотивировать их лучше работать: от отруб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ания рук до создания условий для массового голода. Отрубленные руки, в том числе детей, были показателем эффективности работы местных администраторов. По некоторым оценкам, от действий бельгийских колонизаторов в Конго погибло от 5 до 10 миллионов человек.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11.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pPr>
      <w:r>
        <w:rPr>
          <w:i/>
          <w:iCs/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8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 вы думаете, как в современной России противодействуют проявлениям неонацизма?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12.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Юридические меры противодействия неонацизму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Противодействие неонацизму происходит по нескольким направлениям. Во-первых, это юридические меры и привлечение к ответственности.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Согласно Кодексу об административных правонарушениях Российской Федерации, виновное лицо подлежит привлечению к административной ответственности за совершение следующих правонарушений: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1. Нарушение установленного федеральным законом запрета публичного отождествления целей, решений и действий руководства СССР, командования и военнослужащих 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ССР с целями, решениями и действиями руководства нацистской Германии, командования и военнослужащих нацистской Германии и европейских стран оси в ходе Второй мировой войны, а также отрицания решающей роли советского народа в разгроме нацистской Германии и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гуманитарной миссии СССР при освобождении стран Европы (статья 13.48 КоАП РФ);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2. Пропаганда либо публичн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 (статья 20.3 КоАП РФ).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13.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Юридические меры противодействия неонацизму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Также есть две основные статьи Уголовного кодекса Российской Федерации, которые следует упомянуть: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1. Стать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я 282 УК РФ, предусматривающая наказание за возбуждение ненависти либо вражды, а также за унижение человеческого достоинства по признакам пола, расы, национальности, языка, происхождения, отношения к религии и принадлежности к какой-либо социальной группе;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2. Статья 354.1 УК РФ, которая устанавливает ответственность за следующие действия: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pStyle w:val="771"/>
        <w:numPr>
          <w:ilvl w:val="0"/>
          <w:numId w:val="8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отрицание фактов, установленных приговором Международного военного трибунала для суда и наказания главных военных преступников европейских стран оси;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pStyle w:val="771"/>
        <w:numPr>
          <w:ilvl w:val="0"/>
          <w:numId w:val="8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одобрение преступлений, установленных указанным приговором;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pStyle w:val="771"/>
        <w:numPr>
          <w:ilvl w:val="0"/>
          <w:numId w:val="8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распространение заведомо ложных сведений о деятельности СССР в годы Второй мировой войны, о ветеранах Великой Отечественной войны;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pStyle w:val="771"/>
        <w:numPr>
          <w:ilvl w:val="0"/>
          <w:numId w:val="8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распространение выражающих явное неуважение к обществу сведений о днях воинской славы и памятных датах России, связанных с защитой Отечества;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pStyle w:val="771"/>
        <w:numPr>
          <w:ilvl w:val="0"/>
          <w:numId w:val="8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осквернение символов воинской славы России;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pStyle w:val="771"/>
        <w:numPr>
          <w:ilvl w:val="0"/>
          <w:numId w:val="8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публичное оскорбление памяти защитников Отечества и унижение чести и достоинства ветерана Великой Отечественной войны.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14.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Юридические меры противодействия неонацизму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Еще одна мера юридического характера — признание неонацистской организации экстремистской или террористической в зависимости от совершенных преступлений. Например, в 2022 году в Перечень экстремистских организаций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, запрещенных на территории РФ,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внесены украинские националистические объединения и движения: «СИЧ-14», «Черный комитет» и «Добровольческое движение организации украинских националистов»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(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Внесены в реестр террористов и экстремистов Росфинмониторинга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)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, идеология которых основывается на русофобии и стремлении разрушить Российское государс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тво. Стоит отметить, что признание организации террористической или экстремистской происходит только после вынесения соответствующего решения Верховным и другими судами России в соответствии с экспертизами. Возвращаясь к изначальной теме, симпатизирующим у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краинским националистам из числа представителей разных народов России важно помнить, что для украинских националистов вне зависимости от отношения к России русские являются людьми «второго сорта», которыми можно жертвовать для достижения собственных целей.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Среди организаций, признанных по решению российских судов террористическими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 и запрещенными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, есть «Форум свободных народов постРоссии», военизированное подразделение «Русский добровольческий корпус», подчиненный Киеву и состоящий из русских неонацистов, и также управляемый со стороны украинских националистов белорусский «Полк им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ени Кастуся Калиновского». У белорусских националистов цель — свергнуть Президента Беларуси Александра Лукашенко и установить белорусский национализм в качестве государственной идеологии. Чем это заканчивается — хорошо видно на примере современной Украины.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15.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Юридические меры противодействия неонацизму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Еще одна юридическая мера со стороны государства — своевременная блокировка 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интернете материалов и ресурсов, пропагандирующих неонацизм и его проявления. Такая задача выполняется Роскомнадзором, а также администраторами информационных ресурсов, например, социальных сетей и мессенджеров, по требованию российского законодательства.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Второе направление, по которому проводится противодействие неонацистским проявлениям в России — это просветительская и воспитательная работа.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16.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Вопрос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76325" cy="342900"/>
                <wp:effectExtent l="0" t="0" r="9525" b="0"/>
                <wp:docPr id="9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76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84.75pt;height:27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Как вы думаете, какую роль играет историческое просвещение в защите от неонацизма?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  <w:t xml:space="preserve">Ответы слушателей.</w:t>
      </w:r>
      <w:r>
        <w:rPr>
          <w:rFonts w:ascii="Times New Roman" w:hAnsi="Times New Roman" w:eastAsia="Times New Roman" w:cs="Times New Roman"/>
          <w:i/>
          <w:i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17.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Просветительская и воспитательная работа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Прежде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всего, это меры по сохранению исторической памяти, в первую очередь о Великой Отечественной войне. Помимо двух основных дат, 22 июня как начало войны и 9 мая как ее завершение, в России отмечается День единых действий в память о геноциде советского народа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val="ru-RU"/>
        </w:rPr>
        <w:t xml:space="preserve"> нацистами и их пособниками в годы Великой Отечественной войны 1941-1945 годов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(19 апреля). Именно 19 апреля 1943 года был принят Указ президиума Верховного Совета СССР №39 «О мерах наказания для немецко-фашистских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 Появление этого документа было первым фактом признания целенаправленной 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и масштабной политики нацистов и их пособников по уничтожению мирного населения на оккупированной территории и наказуемости таких преступлений. До установления даты 19 апреля преимущественно говорили о Холокосте, однако недостаточно рассказывали о геноцид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е славян и других народов СССР со стороны нацистов. Речь идет не о соревновании народов между собой, кого больше нацисты уничтожили в годы Второй мировой войны. Речь идет о сохранении исторической памяти и предотвращении аналогичных преступлений в будущем.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Во-вторых, это гармонизация межнациональных и ме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жрелигиозных отношений внутри России. Россия — это богатая страна с точки зрения входящих в ее состав народов и религий, которые за века взаимодействия научились друг с другом жить в одной стране и вместе развиваться. Важную роль в России играет русский на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род как государствообразующий, в том числе исходя из статьи 68 Конституции Российской Федерации. Однако слово «государствообразующий» не влечет за собой придание статуса превосходства на другими. Это слово налагает большую ответственность за судьбу России.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В рамках гармонизации межнациональных и межрелигиозных отношений особую роль играет профилактика ксенофобии, то есть неприятия на национальной и религиозной основе. Такая работа проводится как внутри России при изучении наших народов, т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ак и при адаптации иностранцев, приезжающих в Россию, в том числе на работу. Крайне важно, чтобы в Россию извне не привносились деструктивные практики взаимодействия людей между собой, в том числе на основе архаичных, давно изживших себя в России традиций.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Литература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от 13.03.1995 № 32‑ФЗ «О днях воинской славы и памятных датах России» // </w:t>
      </w:r>
      <w:hyperlink r:id="rId16" w:tooltip="http://www.kremlin.ru/acts/bank/7640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http://www.kremlin.ru/acts/bank/7640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духовно‑нравственных ценностей» // </w:t>
      </w:r>
      <w:hyperlink r:id="rId17" w:tooltip="http://www.kremlin.ru/acts/bank/48502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http://www.kremlin.ru/acts/bank/48502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Интерфакс. Материал/опрос о восприятии 23 февраля и престиже военной профессии // </w:t>
      </w:r>
      <w:hyperlink r:id="rId18" w:tooltip="https://www.interfax.ru/russia/1010301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https://www.interfax.ru/russia/1010301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Традиции и праздники как рычаг объединения современного российского общества // </w:t>
      </w:r>
      <w:hyperlink r:id="rId19" w:tooltip="https://scipress.ru/pedagogy/articles/traditsii-i-prazdniki-kak-rychag-obedineniya-sovremennogo-rossijskogo-obshhestva.html" w:history="1">
        <w:r>
          <w:rPr>
            <w:rFonts w:ascii="Times New Roman" w:hAnsi="Times New Roman" w:eastAsia="Times New Roman" w:cs="Times New Roman"/>
            <w:color w:val="0563c1"/>
            <w:sz w:val="28"/>
            <w:szCs w:val="28"/>
            <w:u w:val="single"/>
          </w:rPr>
          <w:t xml:space="preserve">https://scipress.ru/pedagogy/articles/traditsii-i-prazdniki-kak-rychag-obedineniya-sovremennogo-rossijskogo-obshhestva.html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Барциц И. Н. Система государственного и муниципального управления. Том 1. — М.: Дело, 2019. — 513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Барциц И. Н., Краковский К. П. История государственной службы России: в 4 т. Том 2. Государственная служба. Книга 2. — М.: Дело, 2023. — 560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Керсновский А. А. История русской армии. — М.: АСТ, 2023. — 1136 с. — ISBN 978‑5‑17‑158663‑8.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Свечин А. А. Стратегия. — Москва: Государственное военное издательство, 1926. — 396,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Леонтьев Д. А. Психология смысла: природа, строение и динамика смысловой реальности. — 3‑е изд., доп. — М.: Смысл, 2007. — 512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​Франкл В. Человек в поисках смысла : пер. с англ. и нем. / общ. ред. Л. Я. Гозмана, Д. А. Леонтьева; вступ. ст. Д. А. Леонтьева. — М.: Прогресс, 1990. — 368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Шапошников Б.М. Мозг армии. — М.: Общество сохранения литературного наследия, 2016. — 842 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Лихач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Д.С. Письма о добром и прекрасном. — Москва: Издательство АСТ, 2023. — 192 с. — ISBN 978-5-17-158299-9.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Бердяев Н.А. Судьба России. — Москва: Директ Медиа, 2019. — 287 с. — ISBN 978-5-9989-0349-6.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Ключевский В.О. Русская история. Полный курс: в 4 ч. Часть 1: учебник для вузов. — Москва: Издательство Юрайт, 2019. — 453 с. — ISBN 978-5-9916-9411-7.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Козлов В.П. «История государства Российского» Н.М. Карамзина в оценках современников. — М.: Наука, 1989. — ISBN 5-02-009482-Х.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1134" w:bottom="1134" w:left="1134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Georgia">
    <w:panose1 w:val="02040503050406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color w:val="000000"/>
        <w:sz w:val="28"/>
        <w:szCs w:val="2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color w:val="000000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color w:val="000000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color w:val="000000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jc w:val="center"/>
    </w:pPr>
    <w:r>
      <w:rPr>
        <w:rFonts w:ascii="Arial" w:hAnsi="Arial" w:cs="Arial"/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1" name="Рисунок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2" name="Рисунок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jc w:val="center"/>
    </w:pPr>
    <w:r>
      <w:rPr>
        <w:rFonts w:ascii="Arial" w:hAnsi="Arial" w:cs="Arial"/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3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20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8"/>
    <w:link w:val="75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58"/>
    <w:link w:val="75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58"/>
    <w:link w:val="75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58"/>
    <w:link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58"/>
    <w:link w:val="75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58"/>
    <w:link w:val="75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1"/>
    <w:next w:val="75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1"/>
    <w:next w:val="75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1"/>
    <w:next w:val="75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58"/>
    <w:link w:val="762"/>
    <w:uiPriority w:val="10"/>
    <w:rPr>
      <w:sz w:val="48"/>
      <w:szCs w:val="48"/>
    </w:rPr>
  </w:style>
  <w:style w:type="character" w:styleId="37">
    <w:name w:val="Subtitle Char"/>
    <w:basedOn w:val="758"/>
    <w:link w:val="788"/>
    <w:uiPriority w:val="11"/>
    <w:rPr>
      <w:sz w:val="24"/>
      <w:szCs w:val="24"/>
    </w:rPr>
  </w:style>
  <w:style w:type="paragraph" w:styleId="38">
    <w:name w:val="Quote"/>
    <w:basedOn w:val="751"/>
    <w:next w:val="75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1"/>
    <w:next w:val="75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8"/>
    <w:link w:val="767"/>
    <w:uiPriority w:val="99"/>
  </w:style>
  <w:style w:type="character" w:styleId="45">
    <w:name w:val="Footer Char"/>
    <w:basedOn w:val="758"/>
    <w:link w:val="769"/>
    <w:uiPriority w:val="99"/>
  </w:style>
  <w:style w:type="paragraph" w:styleId="46">
    <w:name w:val="Caption"/>
    <w:basedOn w:val="751"/>
    <w:next w:val="7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9"/>
    <w:uiPriority w:val="99"/>
  </w:style>
  <w:style w:type="table" w:styleId="48">
    <w:name w:val="Table Grid"/>
    <w:basedOn w:val="7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73"/>
    <w:uiPriority w:val="99"/>
    <w:rPr>
      <w:sz w:val="18"/>
    </w:rPr>
  </w:style>
  <w:style w:type="paragraph" w:styleId="178">
    <w:name w:val="endnote text"/>
    <w:basedOn w:val="75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8"/>
    <w:uiPriority w:val="99"/>
    <w:semiHidden/>
    <w:unhideWhenUsed/>
    <w:rPr>
      <w:vertAlign w:val="superscript"/>
    </w:rPr>
  </w:style>
  <w:style w:type="paragraph" w:styleId="181">
    <w:name w:val="toc 1"/>
    <w:basedOn w:val="751"/>
    <w:next w:val="75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1"/>
    <w:next w:val="75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1"/>
    <w:next w:val="75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1"/>
    <w:next w:val="75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1"/>
    <w:next w:val="75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1"/>
    <w:next w:val="75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1"/>
    <w:next w:val="75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1"/>
    <w:next w:val="75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1"/>
    <w:next w:val="75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1"/>
    <w:next w:val="751"/>
    <w:uiPriority w:val="99"/>
    <w:unhideWhenUsed/>
    <w:pPr>
      <w:spacing w:after="0" w:afterAutospacing="0"/>
    </w:pPr>
  </w:style>
  <w:style w:type="paragraph" w:styleId="751" w:default="1">
    <w:name w:val="Normal"/>
    <w:qFormat/>
  </w:style>
  <w:style w:type="paragraph" w:styleId="752">
    <w:name w:val="Heading 1"/>
    <w:basedOn w:val="751"/>
    <w:next w:val="751"/>
    <w:uiPriority w:val="9"/>
    <w:qFormat/>
    <w:pPr>
      <w:spacing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753">
    <w:name w:val="Heading 2"/>
    <w:basedOn w:val="751"/>
    <w:next w:val="751"/>
    <w:uiPriority w:val="9"/>
    <w:semiHidden/>
    <w:unhideWhenUsed/>
    <w:qFormat/>
    <w:pPr>
      <w:spacing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754">
    <w:name w:val="Heading 3"/>
    <w:basedOn w:val="751"/>
    <w:next w:val="751"/>
    <w:uiPriority w:val="9"/>
    <w:semiHidden/>
    <w:unhideWhenUsed/>
    <w:qFormat/>
    <w:pPr>
      <w:keepLines/>
      <w:keepNext/>
      <w:spacing w:before="40" w:after="0"/>
      <w:outlineLvl w:val="2"/>
    </w:pPr>
    <w:rPr>
      <w:color w:val="1e4d78"/>
      <w:sz w:val="24"/>
      <w:szCs w:val="24"/>
    </w:rPr>
  </w:style>
  <w:style w:type="paragraph" w:styleId="755">
    <w:name w:val="Heading 4"/>
    <w:basedOn w:val="751"/>
    <w:next w:val="751"/>
    <w:uiPriority w:val="9"/>
    <w:semiHidden/>
    <w:unhideWhenUsed/>
    <w:qFormat/>
    <w:pPr>
      <w:keepLines/>
      <w:keepNext/>
      <w:spacing w:before="40" w:after="0"/>
      <w:outlineLvl w:val="3"/>
    </w:pPr>
    <w:rPr>
      <w:i/>
      <w:iCs/>
      <w:color w:val="2e75b5"/>
    </w:rPr>
  </w:style>
  <w:style w:type="paragraph" w:styleId="756">
    <w:name w:val="Heading 5"/>
    <w:basedOn w:val="751"/>
    <w:next w:val="751"/>
    <w:uiPriority w:val="9"/>
    <w:semiHidden/>
    <w:unhideWhenUsed/>
    <w:qFormat/>
    <w:pPr>
      <w:keepLines/>
      <w:keepNext/>
      <w:spacing w:before="220" w:after="40"/>
      <w:outlineLvl w:val="4"/>
    </w:pPr>
    <w:rPr>
      <w:b/>
      <w:bCs/>
    </w:rPr>
  </w:style>
  <w:style w:type="paragraph" w:styleId="757">
    <w:name w:val="Heading 6"/>
    <w:basedOn w:val="751"/>
    <w:next w:val="751"/>
    <w:uiPriority w:val="9"/>
    <w:semiHidden/>
    <w:unhideWhenUsed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character" w:styleId="758" w:default="1">
    <w:name w:val="Default Paragraph Font"/>
    <w:uiPriority w:val="1"/>
    <w:semiHidden/>
    <w:unhideWhenUsed/>
  </w:style>
  <w:style w:type="table" w:styleId="7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0" w:default="1">
    <w:name w:val="No List"/>
    <w:uiPriority w:val="99"/>
    <w:semiHidden/>
    <w:unhideWhenUsed/>
  </w:style>
  <w:style w:type="table" w:styleId="76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762">
    <w:name w:val="Title"/>
    <w:basedOn w:val="751"/>
    <w:next w:val="751"/>
    <w:uiPriority w:val="10"/>
    <w:qFormat/>
    <w:pPr>
      <w:keepLines/>
      <w:keepNext/>
      <w:spacing w:before="480" w:after="120"/>
    </w:pPr>
    <w:rPr>
      <w:b/>
      <w:bCs/>
      <w:sz w:val="72"/>
      <w:szCs w:val="72"/>
    </w:rPr>
  </w:style>
  <w:style w:type="character" w:styleId="763" w:customStyle="1">
    <w:name w:val="Заголовок 1 Знак"/>
    <w:basedOn w:val="758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764" w:customStyle="1">
    <w:name w:val="Заголовок 2 Знак"/>
    <w:basedOn w:val="758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765" w:customStyle="1">
    <w:name w:val="my-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66">
    <w:name w:val="Strong"/>
    <w:basedOn w:val="758"/>
    <w:uiPriority w:val="22"/>
    <w:qFormat/>
    <w:rPr>
      <w:b/>
      <w:bCs/>
    </w:rPr>
  </w:style>
  <w:style w:type="paragraph" w:styleId="767">
    <w:name w:val="Header"/>
    <w:link w:val="76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8" w:customStyle="1">
    <w:name w:val="Верхний колонтитул Знак"/>
    <w:basedOn w:val="758"/>
    <w:link w:val="767"/>
    <w:uiPriority w:val="99"/>
  </w:style>
  <w:style w:type="paragraph" w:styleId="769">
    <w:name w:val="Footer"/>
    <w:link w:val="77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70" w:customStyle="1">
    <w:name w:val="Нижний колонтитул Знак"/>
    <w:basedOn w:val="758"/>
    <w:link w:val="769"/>
    <w:uiPriority w:val="99"/>
  </w:style>
  <w:style w:type="paragraph" w:styleId="771">
    <w:name w:val="List Paragraph"/>
    <w:uiPriority w:val="34"/>
    <w:qFormat/>
    <w:pPr>
      <w:contextualSpacing/>
      <w:ind w:left="720"/>
    </w:pPr>
  </w:style>
  <w:style w:type="character" w:styleId="772">
    <w:name w:val="Hyperlink"/>
    <w:basedOn w:val="758"/>
    <w:uiPriority w:val="99"/>
    <w:unhideWhenUsed/>
    <w:rPr>
      <w:color w:val="0563c1" w:themeColor="hyperlink"/>
      <w:u w:val="single"/>
    </w:rPr>
  </w:style>
  <w:style w:type="paragraph" w:styleId="773">
    <w:name w:val="footnote text"/>
    <w:link w:val="77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74" w:customStyle="1">
    <w:name w:val="Текст сноски Знак"/>
    <w:basedOn w:val="758"/>
    <w:link w:val="773"/>
    <w:uiPriority w:val="99"/>
    <w:semiHidden/>
    <w:rPr>
      <w:sz w:val="20"/>
      <w:szCs w:val="20"/>
    </w:rPr>
  </w:style>
  <w:style w:type="character" w:styleId="775">
    <w:name w:val="footnote reference"/>
    <w:basedOn w:val="758"/>
    <w:uiPriority w:val="99"/>
    <w:semiHidden/>
    <w:unhideWhenUsed/>
    <w:rPr>
      <w:vertAlign w:val="superscript"/>
    </w:rPr>
  </w:style>
  <w:style w:type="character" w:styleId="776">
    <w:name w:val="FollowedHyperlink"/>
    <w:basedOn w:val="758"/>
    <w:uiPriority w:val="99"/>
    <w:semiHidden/>
    <w:unhideWhenUsed/>
    <w:rPr>
      <w:color w:val="954f72" w:themeColor="followedHyperlink"/>
      <w:u w:val="single"/>
    </w:rPr>
  </w:style>
  <w:style w:type="character" w:styleId="777">
    <w:name w:val="annotation reference"/>
    <w:basedOn w:val="758"/>
    <w:uiPriority w:val="99"/>
    <w:semiHidden/>
    <w:unhideWhenUsed/>
    <w:rPr>
      <w:sz w:val="16"/>
      <w:szCs w:val="16"/>
    </w:rPr>
  </w:style>
  <w:style w:type="paragraph" w:styleId="778">
    <w:name w:val="annotation text"/>
    <w:link w:val="779"/>
    <w:uiPriority w:val="99"/>
    <w:unhideWhenUsed/>
    <w:pPr>
      <w:spacing w:line="240" w:lineRule="auto"/>
    </w:pPr>
    <w:rPr>
      <w:sz w:val="20"/>
      <w:szCs w:val="20"/>
    </w:rPr>
  </w:style>
  <w:style w:type="character" w:styleId="779" w:customStyle="1">
    <w:name w:val="Текст примечания Знак"/>
    <w:basedOn w:val="758"/>
    <w:link w:val="778"/>
    <w:uiPriority w:val="99"/>
    <w:rPr>
      <w:sz w:val="20"/>
      <w:szCs w:val="20"/>
    </w:rPr>
  </w:style>
  <w:style w:type="paragraph" w:styleId="780">
    <w:name w:val="annotation subject"/>
    <w:basedOn w:val="778"/>
    <w:next w:val="778"/>
    <w:link w:val="781"/>
    <w:uiPriority w:val="99"/>
    <w:semiHidden/>
    <w:unhideWhenUsed/>
    <w:rPr>
      <w:b/>
      <w:bCs/>
    </w:rPr>
  </w:style>
  <w:style w:type="character" w:styleId="781" w:customStyle="1">
    <w:name w:val="Тема примечания Знак"/>
    <w:basedOn w:val="779"/>
    <w:link w:val="780"/>
    <w:uiPriority w:val="99"/>
    <w:semiHidden/>
    <w:rPr>
      <w:b/>
      <w:bCs/>
      <w:sz w:val="20"/>
      <w:szCs w:val="20"/>
    </w:rPr>
  </w:style>
  <w:style w:type="paragraph" w:styleId="782">
    <w:name w:val="Balloon Text"/>
    <w:link w:val="78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83" w:customStyle="1">
    <w:name w:val="Текст выноски Знак"/>
    <w:basedOn w:val="758"/>
    <w:link w:val="782"/>
    <w:uiPriority w:val="99"/>
    <w:semiHidden/>
    <w:rPr>
      <w:rFonts w:ascii="Segoe UI" w:hAnsi="Segoe UI" w:cs="Segoe UI"/>
      <w:sz w:val="18"/>
      <w:szCs w:val="18"/>
    </w:rPr>
  </w:style>
  <w:style w:type="paragraph" w:styleId="784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785" w:customStyle="1">
    <w:name w:val="Заголовок 3 Знак"/>
    <w:basedOn w:val="758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86" w:customStyle="1">
    <w:name w:val="Заголовок 4 Знак"/>
    <w:basedOn w:val="758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787" w:customStyle="1">
    <w:name w:val="ds-markdown-paragraph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88">
    <w:name w:val="Subtitle"/>
    <w:basedOn w:val="751"/>
    <w:next w:val="751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hyperlink" Target="http://www.kremlin.ru/acts/bank/7640" TargetMode="External"/><Relationship Id="rId17" Type="http://schemas.openxmlformats.org/officeDocument/2006/relationships/hyperlink" Target="http://www.kremlin.ru/acts/bank/48502" TargetMode="External"/><Relationship Id="rId18" Type="http://schemas.openxmlformats.org/officeDocument/2006/relationships/hyperlink" Target="https://www.interfax.ru/russia/1010301" TargetMode="External"/><Relationship Id="rId19" Type="http://schemas.openxmlformats.org/officeDocument/2006/relationships/hyperlink" Target="https://scipress.ru/pedagogy/articles/traditsii-i-prazdniki-kak-rychag-obedineniya-sovremennogo-rossijskogo-obshhestva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lwpetd9edNOoCNdF+o3yg4MPSQ==">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</go:docsCustomData>
</go:gDocsCustomXmlDataStorage>
</file>

<file path=customXml/itemProps1.xml><?xml version="1.0" encoding="utf-8"?>
<ds:datastoreItem xmlns:ds="http://schemas.openxmlformats.org/officeDocument/2006/customXml" ds:itemID="{BFE5DC32-3F44-4A31-BE0B-54D287D168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</dc:creator>
  <cp:lastModifiedBy>Лекции Знание</cp:lastModifiedBy>
  <cp:revision>43</cp:revision>
  <dcterms:created xsi:type="dcterms:W3CDTF">2026-02-06T14:59:00Z</dcterms:created>
  <dcterms:modified xsi:type="dcterms:W3CDTF">2026-07-02T10:16:45Z</dcterms:modified>
</cp:coreProperties>
</file>