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«Современные виды мошенничества: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основные схемы и методы защиты»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Тучков Андрей Викторович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 Губернаторской программы </w:t>
      </w:r>
      <w:r>
        <w:rPr>
          <w:rFonts w:ascii="Times New Roman" w:hAnsi="Times New Roman" w:cs="Times New Roman"/>
          <w:sz w:val="28"/>
          <w:szCs w:val="28"/>
        </w:rPr>
        <w:br/>
        <w:t xml:space="preserve">подготовки управленческих кадров,</w:t>
      </w:r>
      <w:r>
        <w:rPr>
          <w:rFonts w:ascii="Times New Roman" w:hAnsi="Times New Roman" w:cs="Times New Roman"/>
          <w:sz w:val="28"/>
          <w:szCs w:val="28"/>
        </w:rPr>
        <w:br/>
        <w:t xml:space="preserve">финалист Национальной премии </w:t>
      </w:r>
      <w:r>
        <w:rPr>
          <w:rFonts w:ascii="Times New Roman" w:hAnsi="Times New Roman" w:cs="Times New Roman"/>
          <w:sz w:val="28"/>
          <w:szCs w:val="28"/>
        </w:rPr>
        <w:br/>
        <w:t xml:space="preserve">«Бизнес-Успех» 2021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лекции: </w:t>
      </w:r>
      <w:r>
        <w:rPr>
          <w:rFonts w:ascii="Times New Roman" w:hAnsi="Times New Roman" w:cs="Times New Roman"/>
          <w:sz w:val="28"/>
          <w:szCs w:val="28"/>
        </w:rPr>
        <w:t xml:space="preserve">показать, как действуют современные мошенники, какие схемы они используют и как можно защитить себя и близких от обмана.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39"/>
        </w:numPr>
        <w:jc w:val="both"/>
        <w:spacing w:line="36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Рассказать о наиболее распространенных схемах финансового мошенничества, включая телефонные, интернет- и банковские махинации. 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pStyle w:val="1335"/>
        <w:numPr>
          <w:ilvl w:val="0"/>
          <w:numId w:val="39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Объяснить, почему даже осторожные люди могут становиться жертвами обмана.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39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простые правила безопасного поведения, соблюдение которых позволит защититься от мошеннических схем.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39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Продемонстрировать механизмы, которые реализует государство для борьбы с финансовым мошенничеством.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Формируемые ценности: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38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и свободы человека;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38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взаимопомощь и взаимоуважение.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Смысловые направления: </w:t>
      </w:r>
      <w:r>
        <w:rPr>
          <w:rFonts w:ascii="Times New Roman" w:hAnsi="Times New Roman" w:cs="Times New Roman"/>
          <w:sz w:val="28"/>
          <w:szCs w:val="28"/>
        </w:rPr>
        <w:t xml:space="preserve">противодействие терроризму, экстремизму и иным деструктивным явлениями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лекции: </w:t>
      </w:r>
      <w:r>
        <w:rPr>
          <w:rFonts w:ascii="Times New Roman" w:hAnsi="Times New Roman" w:cs="Times New Roman"/>
          <w:sz w:val="28"/>
          <w:szCs w:val="28"/>
        </w:rPr>
        <w:t xml:space="preserve">40 минут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работающая молодежь</w:t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cs="Times New Roman"/>
          <w:sz w:val="28"/>
          <w:szCs w:val="28"/>
        </w:rPr>
        <w:t xml:space="preserve">16+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лекция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ММ:</w:t>
      </w:r>
      <w:r>
        <w:rPr>
          <w:rFonts w:ascii="Times New Roman" w:hAnsi="Times New Roman" w:cs="Times New Roman"/>
          <w:sz w:val="28"/>
          <w:szCs w:val="28"/>
        </w:rPr>
        <w:t xml:space="preserve"> лекция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Комплект материалов: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сценарий;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презентация.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2. Титульный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3. Регистрация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подтверждения вашего участия в интерактивах, пожалуйста, зарегистрируйтесь по QR-коду: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3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Наведите камеру вашего мобильного телефона на QR-код.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3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0" w:name="_heading=h.667qcfi0vfbb"/>
      <w:r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Перейдите по ссылке и заполните анкету.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3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" w:name="_heading=h.7nhwa55xddut"/>
      <w:r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у вас возникли трудности с регистрацией, сообщите мне.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4. Опрос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288290</wp:posOffset>
                </wp:positionV>
                <wp:extent cx="1151255" cy="290195"/>
                <wp:effectExtent l="0" t="0" r="0" b="0"/>
                <wp:wrapThrough wrapText="bothSides">
                  <wp:wrapPolygon edited="1">
                    <wp:start x="0" y="0"/>
                    <wp:lineTo x="0" y="19851"/>
                    <wp:lineTo x="20373" y="19851"/>
                    <wp:lineTo x="21088" y="15597"/>
                    <wp:lineTo x="21088" y="5672"/>
                    <wp:lineTo x="20730" y="0"/>
                    <wp:lineTo x="0" y="0"/>
                  </wp:wrapPolygon>
                </wp:wrapThrough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151255" cy="290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8240;o:allowoverlap:true;o:allowincell:true;mso-position-horizontal-relative:text;margin-left:37.50pt;mso-position-horizontal:absolute;mso-position-vertical-relative:text;margin-top:22.70pt;mso-position-vertical:absolute;width:90.65pt;height:22.85pt;mso-wrap-distance-left:9.00pt;mso-wrap-distance-top:0.00pt;mso-wrap-distance-right:9.00pt;mso-wrap-distance-bottom:0.00pt;" wrapcoords="0 0 0 91903 94319 91903 97630 72208 97630 26259 95972 0 0 0">
                <v:path textboxrect="0,0,0,0"/>
                <w10:wrap type="through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5. Финансовая грамотность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«Облаков слов»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Все, наверное, слышали термин «финансовая грамотность». Что это такое?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(Ответы слушателей)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highlight w:val="none"/>
        </w:rPr>
        <w:t xml:space="preserve">Слайд 6. Финансовая грамотность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грамотность — это способность управлять своими денежными средствами, включая навыки планирования бюджета, сбережений, инвестиций и управления долгами. Это базовые знания для того, чтобы избежать финансовых проблем и достичь своих целей.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совсем простым языком, то это умение человека достичь баланса в финансах, чтобы доходов семьи хватало на покрытие ее расх</w:t>
      </w:r>
      <w:r>
        <w:rPr>
          <w:rFonts w:ascii="Times New Roman" w:hAnsi="Times New Roman" w:cs="Times New Roman"/>
          <w:sz w:val="28"/>
          <w:szCs w:val="28"/>
        </w:rPr>
        <w:t xml:space="preserve">одов. Для этого мы составляем семейный бюджет. В бюджете мы пытаемся учесть все возможные затраты. Однако все равно могут появиться расходы, которые мы не предусмотрели. Они способны привести нас к полному финансовому краху, банкротству и потере имущества.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рассмотрим актуальные угрозы, которые могут поставить под удар ваши сбережения и личные данные, а также поговорим о том, как избежать подобных ситуаций.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последние годы мы наблюдаем стремительный научно-технический прогресс (НТП). Этому в большей степени способствуют: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42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/>
      <w:bookmarkStart w:id="2" w:name="_heading=h.tsg16jf3yhyv"/>
      <w:r/>
      <w:bookmarkEnd w:id="2"/>
      <w:r>
        <w:rPr>
          <w:rFonts w:ascii="Times New Roman" w:hAnsi="Times New Roman" w:cs="Times New Roman"/>
          <w:sz w:val="28"/>
          <w:szCs w:val="28"/>
        </w:rPr>
        <w:t xml:space="preserve">накопление знаний и развитие технологий;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4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" w:name="_heading=h.fedju3l3noql"/>
      <w:r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 xml:space="preserve">экономические стимулы: в технологии стали вкладывать финансовые ресурсы, поскольку инновации позволяют кратно увеличивать прибыль при сокращении срока возврата средств;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4" w:name="_heading=h.6jf6odvae2zr"/>
      <w:r/>
      <w:bookmarkEnd w:id="4"/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социальные аспекты (повышение уровня образования, мобильность научных кадров, глобализация научных исследований).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с ускорением НТП мы получили и ускоренное развитие мошенничества. Согласно последним данным, каждый третий пользователь в нашей стране сталкивался</w:t>
      </w:r>
      <w:r>
        <w:rPr>
          <w:rFonts w:ascii="Times New Roman" w:hAnsi="Times New Roman" w:cs="Times New Roman"/>
          <w:sz w:val="28"/>
          <w:szCs w:val="28"/>
        </w:rPr>
        <w:t xml:space="preserve"> с попыткой финансового мошенничества. От фальшивых звонков до поддельных сайтов — мошенники изобретают все новые способы обмана. Но хорошая новость в том, что большинство таких атак можно предотвратить, если знать ключевые признаки и вовремя принять меры.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5" w:name="_heading=h.88daqw2h74qq"/>
      <w:r/>
      <w:bookmarkEnd w:id="5"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6" w:name="_heading=h.us96vkp9svwf"/>
      <w:r/>
      <w:bookmarkEnd w:id="6"/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7. Немного статистики мошеннических операций в России (2024–2025)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/>
      <w:bookmarkStart w:id="7" w:name="_heading=h.xlbiq2drt1gt"/>
      <w:r/>
      <w:bookmarkEnd w:id="7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Общие показатели на 2024 год: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общий ущерб от мошенничества: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295 млрд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(оценка Сбербанка)</w:t>
      </w:r>
      <w:r>
        <w:rPr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ущерб от кибермошенничества: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200 млрд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(рост на 36%)</w:t>
      </w:r>
      <w:r>
        <w:rPr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случаев онлайн-мошенничества: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486 тыс.</w:t>
      </w:r>
      <w:r>
        <w:rPr>
          <w:vertAlign w:val="superscript"/>
        </w:rPr>
        <w:footnoteReference w:id="4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ущерб от хищений с банковских счетов: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27,5 млрд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(рост на 74,4%)</w:t>
      </w:r>
      <w:r>
        <w:rPr>
          <w:vertAlign w:val="superscript"/>
        </w:rPr>
        <w:footnoteReference w:id="5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них с счетов физических лиц: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26,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9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млрд рублей</w:t>
      </w:r>
      <w:r>
        <w:rPr>
          <w:vertAlign w:val="superscript"/>
        </w:rPr>
        <w:footnoteReference w:id="6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юридических лиц: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1,2 млрд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8" w:name="_heading=h.khihc0bbij0p"/>
      <w:r/>
      <w:bookmarkEnd w:id="8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Правительство страны ввело ряд эффективных мер, которые помогли замедлить годовой прирост мошенничества с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38,2%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6,8%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снизить общее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число мошеннических операций на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4,6%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(январь 2025 к январю 2024)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сократить количество попыток звонков с подменой номера с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36 млн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5,8 млн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цифры наглядно показывают, что мошеннические операции наносят колоссальный ущерб. Однако существуют способы защититься от злоумышленников.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/>
      <w:bookmarkStart w:id="9" w:name="_heading=h.qsss74ybg6n6"/>
      <w:r/>
      <w:bookmarkEnd w:id="9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Слайд 8. Определение мошенничества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сегодняшней встречи мы будем говорить о мошенничестве не в широком смысле, а о финансовом мошенничестве. Давайте для начала определимся, в чем заключается разница.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0" w:name="_heading=h.xr2sv0md0ned"/>
      <w:r/>
      <w:bookmarkEnd w:id="10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Мошенничество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это хищение чужого имущества или приобретение права на чужое имущество путем обмана или злоупотребления доверием.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Мошенничество в современном мире отличается исключительной многоликостью, адаптивностью (приспосабливаемостью), динамизмом и способностью к модернизации.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Финансовое мошенничество</w:t>
      </w:r>
      <w:r>
        <w:rPr>
          <w:rFonts w:ascii="Times New Roman" w:hAnsi="Times New Roman" w:cs="Times New Roman"/>
          <w:sz w:val="28"/>
          <w:szCs w:val="28"/>
        </w:rPr>
        <w:t xml:space="preserve"> — это совершение противоправных действий в сфере денежного обращения путем обмана, злоупотребления доверием и других манипуляций с целью незаконного обогащения.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наиболее распространенным видам финансового мошенничества относятся: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Кибермошенничество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мошенничество с использованием цифровых технологий, направленное на незаконное получение и использование личной информации пользователя. Думаю, что с этим уже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сталкивался абсолютно каждый житель нашей страны. Чаще всего целью мошенников становятся данные банковских карт. В настоящее время это наиболее распространенный вид мошенничества. В 2024 году размер ущерба от действий кибермошенников составил 200 млрд руб.</w:t>
      </w:r>
      <w:r>
        <w:rPr>
          <w:vertAlign w:val="superscript"/>
        </w:rPr>
        <w:footnoteReference w:id="10"/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Мошенничество в сфере кредитования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«серые» кредиторы, навязывание кредитов в «стоматологиях». Напрямую к мошенничеству не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несем, но обязательно надо помнить, что и банковские структуры бывают не совсем честны с клиентами и любят навязать незаконные дополнительные услуги (страховку, плату за обслуживание счета), а также взыскать сверх того штрафы при неисполнении обязательств.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Телефонное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убеждение человека в совершении действий, которые впоследствии приведут его к финансовым потерям, посредством телефона (мессенджера).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Мошенничество в сфере недвижимости.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так часто встречается, но последствия его могут быть критичны для потерпевшего, поскольку всегда связаны с потерей большой суммы денег.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Мошеннические схемы могут быть очень запутанными, как сюжет детективной истории. Но, понимая их специфику, можно избежать остросюжетных поворотов.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теперь рассмотрим каждый из перечисленных видов мошенничества подробнее, чтобы не стать главной жертвой финансового детектива.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9. Кибермошенничество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вид киберпреступлений, направленный на причинение материального или и</w:t>
      </w:r>
      <w:r>
        <w:rPr>
          <w:rFonts w:ascii="Times New Roman" w:hAnsi="Times New Roman" w:cs="Times New Roman"/>
          <w:sz w:val="28"/>
          <w:szCs w:val="28"/>
        </w:rPr>
        <w:t xml:space="preserve">ного ущерба путем незаконного получения и использования личной информации пользователя с помощью цифровых технологий. В первом полугодии 2025 года было зарегистрировано 221,6 тыс. случаев мошенничества. 83% — 185,4 тыс. составляют случаи кибермошенничества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. Несмотря на свою примитивность, кибермошенничество остается эффективным способом обмана, поэтому важно уметь выявлять и пресекать данные схемы.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Основные характеристики: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4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информационных технологий как основного инструмента преступления;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нацеленность на хищение личных данных пользователя;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технических и социальных методов обмана;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совершение противоправных действий в цифровой среде.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Условно выделяют несколько видов кибермошенничества: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Скимминг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 копирование данных банковских карт с помощью спе</w:t>
      </w:r>
      <w:r>
        <w:rPr>
          <w:rFonts w:ascii="Times New Roman" w:hAnsi="Times New Roman" w:cs="Times New Roman"/>
          <w:sz w:val="28"/>
          <w:szCs w:val="28"/>
        </w:rPr>
        <w:t xml:space="preserve">циальных устройств: это может быть установка на банкоматы нештатного оборудования (скиммеров), раньше наиболее часто встречались накладки на банкоматы, в которых были установлены микрокамеры — таким образом визуально считыватели номер карты и CVC. Сейчас т</w:t>
      </w:r>
      <w:r>
        <w:rPr>
          <w:rFonts w:ascii="Times New Roman" w:hAnsi="Times New Roman" w:cs="Times New Roman"/>
          <w:sz w:val="28"/>
          <w:szCs w:val="28"/>
        </w:rPr>
        <w:t xml:space="preserve">ехнологии шагнули вперед. Уже встречаются накладки на магнитный считыватель карты, который сразу передает данные мошенникам онлайн. Поэтому важно знать, какие способы существуют для того, чтобы обезопасить себя и свой кошелек — и физический, и электронный.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Способы минимизации рисков: 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Пользоваться банкоматами, установленными в безопасных местах.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безопасно использовать банкоматы внутри отделений банков. Также рекомендуются банкоматы внутри помещений (торговых центров, офисных центров и т. п.). Рискованно использовать банкоматы, чьи терминалы выведены на внешний фасад здания.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Внимательно осматривать банкомат перед его использованием.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внешний вид вызывает сомнение, лучше отказаться от его использования.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Оформить услугу SMS-оповещения о проведенных операциях по карте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Закрывать клавиатуру при вводе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пин-кода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хранить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пин-код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вместе с картой.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сообщать по мобильным или стационарным телефонам реквизиты карты и ее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пин-код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Блокировать карту немедленно в случае утери/хищения.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4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хранить на карте большие суммы.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Лучше иметь небольшую сумму на карте, а остальные деньги вывести на накопительный счет. Деньги с накопительного счета не пропадут даже в случае утери карты.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Фишинг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вид мошенничества, который подразумевает обман пользователей с целью получения конфиденциальной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информации, такой как логины и пароли. В большинстве случаев злоумышленник отправляет электронные письма, СМС, сообщения в мессенджеры, которые выглядят как официальные сообщения от банков или других организаций. Они содержат ссылки на поддельные сайты, гд</w:t>
      </w:r>
      <w:r>
        <w:rPr>
          <w:rFonts w:ascii="Times New Roman" w:hAnsi="Times New Roman" w:cs="Times New Roman"/>
          <w:sz w:val="28"/>
          <w:szCs w:val="28"/>
        </w:rPr>
        <w:t xml:space="preserve">е пользователи вводят свои данные, не подозревая об обмане. Например, согласно результатам анализа развития почтового фишинга в 2025 году, который провела «Лаборатория Касперского», наиболее распространенным стали следующие приемы: приглашения в календаре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(мошенники рассылают жертвам сообщения с приглашением на встречу. В описании содержится дата и время, а также ссылка на фишинговый ресурс)</w:t>
      </w:r>
      <w:r>
        <w:rPr>
          <w:rFonts w:ascii="Times New Roman" w:hAnsi="Times New Roman" w:cs="Times New Roman"/>
          <w:sz w:val="28"/>
          <w:szCs w:val="28"/>
        </w:rPr>
        <w:t xml:space="preserve">; голосовые сообщения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(фишинговые письма, замаскированные под уведомления о входящих голосовых сообщениях. Для их прослушивания якобы нужно перейти по указанной в тексте ссылке)</w:t>
      </w:r>
      <w:r>
        <w:rPr>
          <w:rFonts w:ascii="Times New Roman" w:hAnsi="Times New Roman" w:cs="Times New Roman"/>
          <w:sz w:val="28"/>
          <w:szCs w:val="28"/>
        </w:rPr>
        <w:t xml:space="preserve">; письма на нейтральные темы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(письма якобы от провайдера облачного хранилища с просьбой оценить качество обслуживания). 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Мошенники все чаще внедряют различные методы в попытке избежать обнаружения фишинговых страниц или ссылок защитными решениями. В таких условиях важно критически относиться к любым входящим сообщениям и уметь распознавать фишинговые схемы.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Способы минимизации рисков: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программы защиты компьютера.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финансовые операции только с защищенных веб-сайтов.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Идеально, если вы не переходите по ссылке, а инициируете оплату со страницы обслуживающего вас банка.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сообщать пароль доступа к своему счету через интернет.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надежные пароли.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окончании работы выходить из учетной записи.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отвечать на электронные сообщения с запросом на изменение параметров защиты.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разные инструменты для разных видов расчетов.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Помните, что чем ответственнее вы подойдете к установке пароля и его защите, тем вероятнее, что мошенники не смогут получить доступ к вашим финансам.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Брутфорс</w:t>
      </w:r>
      <w:r>
        <w:rPr>
          <w:rFonts w:ascii="Times New Roman" w:hAnsi="Times New Roman" w:cs="Times New Roman"/>
          <w:sz w:val="28"/>
          <w:szCs w:val="28"/>
        </w:rPr>
        <w:t xml:space="preserve"> — способ кибермошенничества, который встречается реже, но знать о нем необходимо. Это подбор паролей методом перебора, а также распространение вредоносных программ.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Какие методы используют преступники: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манипуляции через мессенджеры;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поддельные звонки от имени банков;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фальшивые сообщения от «друзей»;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имитация голоса и внешности с помощью 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поддельных документов;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фальшивых сайтов;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4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распределенные атаки на пользователей.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из перечисленных видов имеет свою специфику, однако, понимая логику мошеннической схемы, можно защитить себя и свои средства от уловок аферистов.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10. Мошенничество в сфере кредитования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Схемы мошенничества под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предлогом оформления кредита существуют давно. В результате чего возрастает беспокойство из-за возможности стать пострадавшим от кредитного мошенничества: по статистике 43,7% россиян проверяли свою кредитную историю. Одной из причин является опасение, 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мошенники могли оформить на них ссуду без их ведома. Такой ответ дали 36,1% опрошенных.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Киберпреступники регулярно разрабатывают новые сценарии, неизменным остается применение методов социальной инженерии. Рассмотрим реальный пример. Пострадавшая от мошеннической схемы рассказала о сценарии преступления, жертвой которого она стала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12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Одновременно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лжесотрудниками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банка девушке звонили мошенники с подменного номера МВД и представлялись сотрудниками полиции. Они подтверждали, что кто-то пытался оформить одобренный ей ранее кредит, поэтому необходимо спасти средства.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Лжесотрудники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банка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псевдополицейские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уговорили Алису снять кредитные деньги и подтвердить реальным сотрудникам банка правомерность операции, а затем перевести их на указанный счет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13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Поэтому предлагаю ознакомиться с распространенными схемами обмана заемщика, чтобы избежать таких случаев: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Кредитные брокеры 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посредник между банками и заемщиками. Кредитные брокеры заключают договор с банком, который позволяет ему подавать заявки на кредит. На рынке есть множество брокеров, которые используют различные мошеннические схемы: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завышение процентных ставок;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скрытые комиссии;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продажа ненужных страховок;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подделка документов без ведома клиента.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0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Махинации с документами: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5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подмена условий договора;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добавление скрытых пунктов;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процентных ставок после подписания;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фальсификация подписей.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особо отметить, что сейчас в использовании услуг посредников нет необходимости. Посредник, обещая «помочь» получить кредит, откровенно лукавит. Он никак не может повлиять на процесс и лишь берет плату за свои неправомерные действия.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/>
      <w:bookmarkStart w:id="11" w:name="_heading=h.zied8uhrhzhn"/>
      <w:r/>
      <w:bookmarkEnd w:id="11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Как обманывают в банках и микрофинансовых организациях: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53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 этапе оформления: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5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неполное раскрытие условий;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скрытые платежи;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навязывание дополнительных услуг;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манипуляции с процентными ставками.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После получения кредита: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неожиданные повышения ставок;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условий договора;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требование дополнительных платежей;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проблемы с досрочным погашением.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Способы минимизации рисков: 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56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Предварительная проверка: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5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репутации организации;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лицензии ЦБ РФ;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анализ отзывов других клиентов;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сравнение условий разных кредиторов.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6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Внимательная проверка документов: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5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детальное изучение договора;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проверка всех условий и ставок;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уточнение всех дополнительных платежей;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8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сохранение копий всех документов.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с особой внимательностью изучать данные о банке при обращении, условия договора и, разумеется, сохранять все документы по окончании оформления, чтобы в любой момент иметь доступ к полной информации.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Защитить себя от мошенничества можно разными способами: наше государство создает множество механизмов для того, чтобы у каждого гражданина была возможность принять взвешенное решение.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был</w:t>
      </w:r>
      <w:r>
        <w:rPr>
          <w:rFonts w:ascii="Times New Roman" w:hAnsi="Times New Roman" w:cs="Times New Roman"/>
          <w:sz w:val="28"/>
          <w:szCs w:val="28"/>
        </w:rPr>
        <w:t xml:space="preserve"> разработан и принят закон, который дает заемщику время на обдумывание решения о необходимости оформления кредита или принятие необходимых мер в том случае, если операция совершается без добровольного согласия. Речь идет о механизме периода охлаждения — эт</w:t>
      </w:r>
      <w:r>
        <w:rPr>
          <w:rFonts w:ascii="Times New Roman" w:hAnsi="Times New Roman" w:cs="Times New Roman"/>
          <w:sz w:val="28"/>
          <w:szCs w:val="28"/>
        </w:rPr>
        <w:t xml:space="preserve">о промежуток времени после подписания кредитного договора, в течение которого банк не перечисляет деньги клиенту, а предоставляет возможность подумать. Гражданин вправе отказаться от займа, пока действует период охлаждения, проценты при этом не начисляются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марта 2025 года в России вступил в силу закон, который дает право гражданам РФ устанавливать </w:t>
      </w:r>
      <w:r>
        <w:rPr>
          <w:rFonts w:ascii="Times New Roman" w:hAnsi="Times New Roman" w:cs="Times New Roman"/>
          <w:sz w:val="28"/>
          <w:szCs w:val="28"/>
        </w:rPr>
        <w:t xml:space="preserve">самозапрет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кредитов. Запрет распространяется как отдельно на кредитование, так и на другие банковские операции. Например, можно установить максимальную сумму для одного или нескольких переводов, но только на определенный период.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 же одним из самых эффективных способов профилактики от мошеннических кредитов остается регулярный мониторинг своей кредитной истории.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/>
      <w:bookmarkStart w:id="12" w:name="_heading=h.4spayk9uskij"/>
      <w:r/>
      <w:bookmarkEnd w:id="12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/>
      <w:bookmarkStart w:id="13" w:name="_heading=h.8tm0ldo93wm7"/>
      <w:r/>
      <w:bookmarkEnd w:id="13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11. Вишинг — телефонное мошенничество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4" w:name="_heading=h.pciyapvziqdu"/>
      <w:r/>
      <w:bookmarkEnd w:id="14"/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вид преступных действий, направленный на получение незаконной выгоды путем обмана собеседника по телефону без непосредственного визуального контакта с ним.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вид мошенничества представляет собой особую форму социальной инженерии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психологического манипулирования людьми с целью </w:t>
      </w:r>
      <w:r>
        <w:rPr>
          <w:rFonts w:ascii="Times New Roman" w:hAnsi="Times New Roman" w:cs="Times New Roman"/>
          <w:sz w:val="28"/>
          <w:szCs w:val="28"/>
        </w:rPr>
        <w:t xml:space="preserve">совершения определенных действий или разглашения конфиденциальной информации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, при которой злоумышленники: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5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 телефонные коммуникации;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притворяются представителями различных организаций (банков, правоохранительных органов, операторов связи);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выманивают конфиденциальную информацию;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5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стимулируют к совершению определенных действий с банковскими счетами, личными кабинетами, реже с персональными (паспортными) данными.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особенностью телефонного мошенничества являе</w:t>
      </w:r>
      <w:r>
        <w:rPr>
          <w:rFonts w:ascii="Times New Roman" w:hAnsi="Times New Roman" w:cs="Times New Roman"/>
          <w:sz w:val="28"/>
          <w:szCs w:val="28"/>
        </w:rPr>
        <w:t xml:space="preserve">тся дистанционный характер его совершения. Поэтому сложность заключается в том, чтобы установить личность мошенника: он может изменить свой голос, представиться другим человеком или использовать другие способы воздействия с учетом имеющихся у него данных.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5" w:name="_heading=h.jxna5cxq2sph"/>
      <w:r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Методы социальной инженерии разнообразны и могут причинить существенный ущерб гражданам.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6" w:name="_heading=h.uoq0097zm9hx"/>
      <w:r/>
      <w:bookmarkEnd w:id="16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Наглядный пример.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Телефонные мошенники потратили целый год, чтобы выманить у 86-летней москвички 90 миллионов рублей. На протяжении этого времени ей звонили под видом следователей, банкиров и пра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воохранителей. Пенсионерку убедили, что кто-то пытается похитить все ее деньги, и их срочно нужно обналичить, чтобы положить на другой счет. Наличные забирали курьеры. Так пожилая женщина отдала все свои сбережения, деньги от продажи квартиры и акций банка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16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/>
      <w:bookmarkStart w:id="17" w:name="_heading=h.uiyc2kk4tnt0"/>
      <w:r/>
      <w:bookmarkEnd w:id="17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Признаки, по которым можно распознать мошеннический звонок: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неизвестный номер;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паники и требование срочных действий;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просьба о предоставлении конфиденциальных данных (пароли, коды, реквизиты карт);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предложение установить программы или перейти по ссылкам;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8" w:name="_heading=h.69rwlqa2xjnu"/>
      <w:r/>
      <w:bookmarkEnd w:id="18"/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общение от лица органов государственной власти.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19" w:name="_heading=h.ff0u4vijjqpb"/>
      <w:r/>
      <w:bookmarkEnd w:id="19"/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Выделяются несколько наиболее распространенных видов телефонного мошенничества: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0" w:name="_heading=h.tau3td4j7t8s"/>
      <w:r/>
      <w:bookmarkEnd w:id="20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банковское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сотрудников банка о подозрительных операциях;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родственное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близких людей, попавших в беду;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правоохранительное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полиции, прокуратуры;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техническое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техподдержки с требованием установить программы;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государственное мошенничество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госучреждений о льготах и компенсациях.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Схемы манипулирования отличаются в зависимости от уровня грамотности граждан, при этом процесс общения основан на коммуникативных психологических приемах и речевых алгоритмах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/>
      <w:bookmarkStart w:id="21" w:name="_heading=h.84tcbhavs41y"/>
      <w:r/>
      <w:bookmarkEnd w:id="21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Как распознать мошенника: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плохая речь и несоответствие фактов;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шаблонные фразы и неспособность ответить на уточняющие вопросы;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конкретики по вашим данным;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давление и спешка в принятии решений;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просьба назвать СМС-коды.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/>
      <w:bookmarkStart w:id="22" w:name="_heading=h.jzdg3ojcxl33"/>
      <w:r/>
      <w:bookmarkEnd w:id="22"/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звонок вызывает у вас сомнения и подозрения, то лучше положите трубку и запишите номер звонящего. Затем свяжитесь с организацией по официальному номеру и сообщите о попытке мошенничества в банк и полицию.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none"/>
        </w:rPr>
        <w:t xml:space="preserve">Слайд 12. Вопрос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90625" cy="29527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190625" cy="29527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93.75pt;height:23.25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«Открытый ответ»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какой рекорд установлен по количеству звонков мошенника абоненту?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(Ответы слушателей)</w:t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  <w:highlight w:val="none"/>
        </w:rPr>
        <w:t xml:space="preserve">Слайд 13. Ответ </w:t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3" w:name="_heading=h.jwgqxov3d02n"/>
      <w:r/>
      <w:bookmarkEnd w:id="23"/>
      <w:r>
        <w:rPr>
          <w:rFonts w:ascii="Times New Roman" w:hAnsi="Times New Roman" w:cs="Times New Roman"/>
          <w:color w:val="000000"/>
          <w:sz w:val="28"/>
          <w:szCs w:val="28"/>
        </w:rPr>
        <w:t xml:space="preserve">Помните, что теле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фонные мошенники могут быть очень настойчивы. Например, в июне 2025 года специалистами сотового оператора было установлено, что одному из абонентов злоумышленник пытался дозвониться на протяжении восьми часов подряд, а это составляет свыше 17 тысяч звонков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footnoteReference w:id="18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Поэтому даже если до вас пытаются дозвониться на протяжении 8 часов, отвечать не стоит.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4" w:name="_heading=h.e5i2iho7toi0"/>
      <w:r/>
      <w:bookmarkEnd w:id="24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14. Мошенничество с недвижимостью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5" w:name="_heading=h.rbvhgkffi92t"/>
      <w:r/>
      <w:bookmarkEnd w:id="25"/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форма хищения чужого имущества или приобретения права собственности на него путем обмана или злоупотребления доверием в сфере операций с недвижимостью.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Схемы мошенничества в сфере недвижимости: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активный обман — предоставление ложной информации (устной или письменной);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неправомерные действия — фальсификация документов, подделка предметов сделки;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3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злоупотребление доверием — использование доверительных отношений для совершения незаконных действий.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Мошенничество с недвижимостью связано с высокими рисками из-за больших сумм сделок и уязвимости участников. Оно подрывает доверие к рынку и требует усиленного контроля и проверки всех операций.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Методы реализации: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фальсификация правоустанавливающих документов;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манипуляции с доверенностями — наиболее часто используемый метод. Вообще использование доверенности — это звоночек, что может быть обман;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4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фиктивных сделок с целью введения в заблуждение деловых партнеров/кредиторов/государственных органов.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Мошеннические схемы можно распознать по подозрительным условиям: чрезмерная выгода, спешка и отказ от официального оформления.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Последствия для потерпевших: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потеря денежных средств;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утрата права собственности;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юридические проблемы;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5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психологический ущерб.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Как минимизировать риски: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6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проверить все документы;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6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обратиться к независимому юристу;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6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провести полную юридическую проверку объекта;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6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6" w:name="_heading=h.oncas6hf9651"/>
      <w:r/>
      <w:bookmarkEnd w:id="26"/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зарегистрировать сделку в установленном законом порядке.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Мошен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ничество с недвижимостью может обернуться крупными финансовыми потерями, лишением собственности и серьезными стрессами. Снизить риски можно только через тщательную проверку документов, привлечение специалистов и строгое соблюдение законных процедур сделки.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Слайд 15. Как распознать мошенника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что мошеннических схем очень много, распознать мошенника можно по нескольким признакам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вас вышли сами;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вами говорят о деньгах;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вас просят сообщить какие-либо данные;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7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вас выводят из равновесия: пугают, торопят, не дают права выбора, давят на жалость или жадность, чтобы у вас не было возможности принять взвешенное решение в спокойной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обстановке,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чтобы вы действовали импульсивно.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Распознать мошенника помогает внимат</w:t>
      </w:r>
      <w:r>
        <w:rPr>
          <w:rFonts w:ascii="Times New Roman" w:hAnsi="Times New Roman" w:cs="Times New Roman"/>
          <w:sz w:val="28"/>
          <w:szCs w:val="28"/>
        </w:rPr>
        <w:t xml:space="preserve">ельность к его поведению: он сам навязывает контакт, переводит разговор на деньги и личные данные, а также пытается вывести из равновесия с помощью давления или манипуляций. Главный сигнал — попытка лишить вас времени и спокойствия для обдуманного решения.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16. Как защитить себя и свои данные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Теперь, когда мы разобрались в основных схемах мошенничества, давайте перейдем к защите. Как же нам защитить себя от этих угроз: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Бдительность и осторожность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pStyle w:val="1335"/>
        <w:numPr>
          <w:ilvl w:val="0"/>
          <w:numId w:val="6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Никогда не переходите по ссылкам из подозрительных сообщений.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9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Проверьте адреса сайтов, чтобы убедиться, что они соответствуют официальным страницам организаций.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Безопасные пароли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пароли длиной не менее 12 символов, включающие буквы, цифры и специальные символы. Избегайте очевидных паролей: 123456, </w:t>
      </w:r>
      <w:r>
        <w:rPr>
          <w:rFonts w:ascii="Times New Roman" w:hAnsi="Times New Roman" w:cs="Times New Roman"/>
          <w:sz w:val="28"/>
          <w:szCs w:val="28"/>
        </w:rPr>
        <w:t xml:space="preserve">password</w:t>
      </w:r>
      <w:r>
        <w:rPr>
          <w:rFonts w:ascii="Times New Roman" w:hAnsi="Times New Roman" w:cs="Times New Roman"/>
          <w:sz w:val="28"/>
          <w:szCs w:val="28"/>
        </w:rPr>
        <w:t xml:space="preserve">, «имя + год рождения».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Использование двухфакторной аутентификации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Что это?</w:t>
      </w:r>
      <w:r>
        <w:rPr>
          <w:rFonts w:ascii="Times New Roman" w:hAnsi="Times New Roman" w:cs="Times New Roman"/>
          <w:sz w:val="28"/>
          <w:szCs w:val="28"/>
        </w:rPr>
        <w:t xml:space="preserve"> Для входа в систему требуется не только пароль, но и код из SMS или приложение-аутентификатор. Даже если мошенники узнают ваш пароль, без второго кода они не смогут получить доступ к аккаунту.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Обновление программного обеспечения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Убедитесь, что все ваши устройства защищены актуальными версиями программного обеспечения. Вредоносные программы часто используют уязвимости старых версий.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Обучение и информирование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обучайтесь и информируйте своих близких о новых схемах мошенничества. Чтение новостей и специализированных ресурсов может помочь оставаться в курсе.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Установление лимитов и мониторинг счетов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Установите лимиты на транзакции и регулярно проверяйте свои банковские счета. Это позволит вам оперативно заметить подозрительные действия.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68"/>
        </w:numPr>
        <w:jc w:val="both"/>
        <w:spacing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Страхование от мошенничества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Рассмотрите возможность страхования от мошенничества. Это станет еще одной линией защиты и поможет минимизировать последствия, если мошенничество произошло.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17. Советы по обращению в банк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стали жертвой мошенников, важно действовать быстро: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35"/>
        <w:numPr>
          <w:ilvl w:val="0"/>
          <w:numId w:val="7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Немедленно позвоните в банк, чтобы заблокировать карту или счет.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Сообщите о мошенничестве в правоохранительные органы.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0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Проверьте другие аккаунты на предмет взлома.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Инструменты банка для защиты клиентов: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1335"/>
        <w:numPr>
          <w:ilvl w:val="0"/>
          <w:numId w:val="7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Система уведомлений о подозрительных транзакциях.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Функция заморозки карты в мобильном приложении.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1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Специальная горячая линия для случаев мошенничества.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18. Повышение уровня финансовой грамотности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видно из лекции, тема мошенничества неразрывно связана с повышением уровня финансовой грамотности каждого отдельного гражданина РФ.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Мошенничество в современном мире принимает все более разнообразные формы, что требует не только личной бдительности граждан, но и активного </w:t>
      </w:r>
      <w:r>
        <w:rPr>
          <w:rFonts w:ascii="Times New Roman" w:hAnsi="Times New Roman" w:cs="Times New Roman"/>
          <w:sz w:val="28"/>
          <w:szCs w:val="28"/>
        </w:rPr>
        <w:t xml:space="preserve">участия государства. Российская Федерация выстраивает комплексную систему противодействия подобным преступлениям: разрабатываются законодательные инициативы, усиливается контроль за финан</w:t>
      </w:r>
      <w:r>
        <w:rPr>
          <w:rFonts w:ascii="Times New Roman" w:hAnsi="Times New Roman" w:cs="Times New Roman"/>
          <w:sz w:val="28"/>
          <w:szCs w:val="28"/>
        </w:rPr>
        <w:t xml:space="preserve">совыми операциями, внедряются механизмы блокировки подозрительных транзакций. Важным направлением является также координация действий между банками, правоохранительными органами и профильными ведомствами для оперативного реагирования на новые схемы обмана.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уделяется повышению финансовой грамотности населения. При поддержке Минфина и Центробанка реализуются государственные образовательные программы, включающие курсы, вебинары и специальные модули в школах и вузах. Созданы онлайн-ресурсы и мо</w:t>
      </w:r>
      <w:r>
        <w:rPr>
          <w:rFonts w:ascii="Times New Roman" w:hAnsi="Times New Roman" w:cs="Times New Roman"/>
          <w:sz w:val="28"/>
          <w:szCs w:val="28"/>
        </w:rPr>
        <w:t xml:space="preserve">бильные приложения, которые помогают гражданам узнавать о новых видах мошенничества и способах защиты. Такие проекты направлены на то, чтобы каждый человек имел базовые знания о безопасных финансовых операциях и мог вовремя распознать потенциальную угрозу.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также активно взаимодействует с коммерческими структурами и банками, поддерживая внедрение технологий киберзащиты. Современные цифровые сервисы позв</w:t>
      </w:r>
      <w:r>
        <w:rPr>
          <w:rFonts w:ascii="Times New Roman" w:hAnsi="Times New Roman" w:cs="Times New Roman"/>
          <w:sz w:val="28"/>
          <w:szCs w:val="28"/>
        </w:rPr>
        <w:t xml:space="preserve">оляют в реальном времени отслеживать подозрительные операции, а специальные горячие линии дают возможность гражданам мгновенно сообщать о случаях мошенничества. Это создает основу для формирования единой экосистемы противодействия финансовым преступлениям.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роль государства заключается не только в обеспечении правовой защиты и наказ</w:t>
      </w:r>
      <w:r>
        <w:rPr>
          <w:rFonts w:ascii="Times New Roman" w:hAnsi="Times New Roman" w:cs="Times New Roman"/>
          <w:sz w:val="28"/>
          <w:szCs w:val="28"/>
        </w:rPr>
        <w:t xml:space="preserve">ании мошенников, но и в формировании культуры финансовой безопасности. Сочетание превентивных мер, образовательных инициатив и технологической поддержки создает условия для снижения уровня мошенничества и укрепления доверия граждан к финансовым институтам.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19. Обратная связь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20. Полезные ссылки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0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jc w:val="right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709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использованной литературы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ЦБ РФ, раздел «Статистика» (http://cbr.ru/).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7" w:name="_heading=h.frjq191pv5pm"/>
      <w:r/>
      <w:bookmarkEnd w:id="27"/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МВД России, отчеты по киберпреступности (https://мвд.рф/).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Сбербанк: аналитические отчеты по мошенническим операциям.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8" w:name="_heading=h.ntyfl8h1cfx"/>
      <w:r/>
      <w:bookmarkEnd w:id="28"/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Федеральной службы по финансовому мониторингу, отчеты по финансовым преступлениям (</w:t>
      </w:r>
      <w:hyperlink r:id="rId17" w:tooltip="https://fedsfm.ru/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https://fedsfm.ru/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29" w:name="_heading=h.w75y3u8853fz"/>
      <w:r/>
      <w:bookmarkEnd w:id="29"/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МВД России, раздел киберпреступности (</w:t>
      </w:r>
      <w:hyperlink r:id="rId18" w:tooltip="about:blank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https://мвд.рф/mvd/structure1/Upravlenija/%D1%83%D0%B1%D0%BA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0" w:name="_heading=h.txgnhrcbrcz"/>
      <w:r/>
      <w:bookmarkEnd w:id="30"/>
      <w:r>
        <w:rPr>
          <w:rFonts w:ascii="Times New Roman" w:hAnsi="Times New Roman" w:cs="Times New Roman"/>
          <w:color w:val="000000"/>
          <w:sz w:val="28"/>
          <w:szCs w:val="28"/>
        </w:rPr>
        <w:t xml:space="preserve">«Современное мошенничество: экономические, правовые и криминологические проблемы». Авторский коллектив под ред. Е. Н. Харитоновой. Издательство: ЮНИТИ-ДАНА, 2022.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1" w:name="_heading=h.sncmgsx0kwnz"/>
      <w:r/>
      <w:bookmarkEnd w:id="31"/>
      <w:r>
        <w:rPr>
          <w:rFonts w:ascii="Times New Roman" w:hAnsi="Times New Roman" w:cs="Times New Roman"/>
          <w:color w:val="000000"/>
          <w:sz w:val="28"/>
          <w:szCs w:val="28"/>
        </w:rPr>
        <w:t xml:space="preserve">«Финансовая безопасность: противодействие мошенничеству и отмыванию доходов». Учебное пособие. Авторы: В. В. Круглов, А. С. Петров. Издательство: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КноРус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2023.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2" w:name="_heading=h.9jz14ie0dpkz"/>
      <w:r/>
      <w:bookmarkEnd w:id="32"/>
      <w:r>
        <w:rPr>
          <w:rFonts w:ascii="Times New Roman" w:hAnsi="Times New Roman" w:cs="Times New Roman"/>
          <w:color w:val="000000"/>
          <w:sz w:val="28"/>
          <w:szCs w:val="28"/>
        </w:rPr>
        <w:t xml:space="preserve">«Кибермошенничество: современные тенденции и методы противодействия». Авторы: И. П. Кузнецов, А. В. Смирнов. Журнал: «Информационная безопасность», № 3, 2024.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3" w:name="_heading=h.6ennbus8fu00"/>
      <w:r/>
      <w:bookmarkEnd w:id="33"/>
      <w:r>
        <w:rPr>
          <w:rFonts w:ascii="Times New Roman" w:hAnsi="Times New Roman" w:cs="Times New Roman"/>
          <w:color w:val="000000"/>
          <w:sz w:val="28"/>
          <w:szCs w:val="28"/>
        </w:rPr>
        <w:t xml:space="preserve">Аналитический отчет «Мошенничество с использованием социальных сетей: угрозы и контрмеры». Организация: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Positive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Technologies, 2023.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4" w:name="_heading=h.p55hmewpq07v"/>
      <w:r/>
      <w:bookmarkEnd w:id="34"/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по выявлению и пресечению мошенничества в сфере электронной коммерции. Разработан МВД России, 2022.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1335"/>
        <w:numPr>
          <w:ilvl w:val="0"/>
          <w:numId w:val="72"/>
        </w:numPr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5" w:name="_heading=h.8s30c5ivsn8u"/>
      <w:r/>
      <w:bookmarkEnd w:id="35"/>
      <w:r>
        <w:rPr>
          <w:rFonts w:ascii="Times New Roman" w:hAnsi="Times New Roman" w:cs="Times New Roman"/>
          <w:color w:val="000000"/>
          <w:sz w:val="28"/>
          <w:szCs w:val="28"/>
        </w:rPr>
        <w:t xml:space="preserve">«Как не стать жертвой телефонных мошенников: советы экспертов». Елена Петрова (финансовый аналитик). Газета «Коммерсантъ», 15 марта 2024.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/>
      <w:bookmarkStart w:id="36" w:name="_heading=h.h35108lmqqjv"/>
      <w:r/>
      <w:bookmarkEnd w:id="36"/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9" w:h="16834" w:orient="portrait"/>
      <w:pgMar w:top="1134" w:right="1134" w:bottom="1134" w:left="1134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Noto Sans Symbols"/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rPr>
        <w:rFonts w:ascii="Times New Roman" w:hAnsi="Times New Roman" w:eastAsia="Times New Roman" w:cs="Times New Roman"/>
        <w:color w:val="25252c"/>
        <w:sz w:val="28"/>
        <w:szCs w:val="28"/>
        <w:highlight w:val="white"/>
      </w:rPr>
      <w:fldChar w:fldCharType="begin"/>
    </w:r>
    <w:r>
      <w:rPr>
        <w:rFonts w:ascii="Times New Roman" w:hAnsi="Times New Roman" w:eastAsia="Times New Roman" w:cs="Times New Roman"/>
        <w:color w:val="25252c"/>
        <w:sz w:val="28"/>
        <w:szCs w:val="28"/>
        <w:highlight w:val="white"/>
      </w:rPr>
      <w:instrText xml:space="preserve">PAGE</w:instrText>
    </w:r>
    <w:r>
      <w:rPr>
        <w:rFonts w:ascii="Times New Roman" w:hAnsi="Times New Roman" w:eastAsia="Times New Roman" w:cs="Times New Roman"/>
        <w:color w:val="25252c"/>
        <w:sz w:val="28"/>
        <w:szCs w:val="28"/>
        <w:highlight w:val="white"/>
      </w:rPr>
      <w:fldChar w:fldCharType="separate"/>
    </w:r>
    <w:r>
      <w:rPr>
        <w:rFonts w:ascii="Times New Roman" w:hAnsi="Times New Roman" w:eastAsia="Times New Roman" w:cs="Times New Roman"/>
        <w:color w:val="25252c"/>
        <w:sz w:val="28"/>
        <w:szCs w:val="28"/>
        <w:highlight w:val="white"/>
      </w:rPr>
      <w:t xml:space="preserve">2</w:t>
    </w:r>
    <w:r>
      <w:rPr>
        <w:rFonts w:ascii="Times New Roman" w:hAnsi="Times New Roman" w:eastAsia="Times New Roman" w:cs="Times New Roman"/>
        <w:color w:val="25252c"/>
        <w:sz w:val="28"/>
        <w:szCs w:val="28"/>
        <w:highlight w:val="white"/>
      </w:rP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1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  <w:footnote w:id="2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(</w:t>
      </w:r>
      <w:hyperlink r:id="rId1" w:tooltip="https://tass.ru/ekonomika/23299665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https://tass.ru/ekonomika/23299665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?)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3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Источник:(</w:t>
      </w:r>
      <w:hyperlink r:id="rId2" w:tooltip="https://www.rbc.ru/rbcfreenews/67b59c829a79474f95af8059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https://www.rbc.ru/rbcfreenews/67b59c829a79474f95af8059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?)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4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(</w:t>
      </w:r>
      <w:hyperlink r:id="rId3" w:tooltip="https://www.rbc.ru/rbcfreenews/67b59c829a79474f95af8059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https://www.rbc.ru/rbcfreenews/67b59c829a79474f95af8059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?)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5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(</w:t>
      </w:r>
      <w:hyperlink r:id="rId4" w:tooltip="https://www.rbc.ru/finances/18/02/2025/67b489749a794780d1527516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https://www.rbc.ru/finances/18/02/2025/67b489749a794780d1527516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?)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6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(</w:t>
      </w:r>
      <w:hyperlink r:id="rId5" w:tooltip="https://www.rbc.ru/finances/18/02/2025/67b489749a794780d1527516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https://www.rbc.ru/finances/18/02/2025/67b489749a794780d1527516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?)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7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</w:t>
      </w:r>
      <w:hyperlink r:id="rId6" w:tooltip="https://1prime.ru/20250225/moshenniki-855234347.html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https://1prime.ru/20250225/moshenniki-855234347.html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8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https://www.kommersant.ru/doc/7533385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9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https://www.kommersant.ru/doc/7533385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0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https://www.rbc.ru/rbcfreenews/67b59c829a79474f95af8059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1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Calibri" w:hAnsi="Calibri" w:eastAsia="Calibri" w:cs="Calibri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7" w:tooltip="https://tass.ru/obschestvo/24573429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https://tass.ru/obschestvo/24573429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2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8" w:tooltip="https://ria.ru/20250705/kredity-2027344818.html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https://ria.ru/20250705/kredity-2027344818.html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3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9" w:tooltip="https://www.rbc.ru/newspaper/2020/11/02/5f9afd879a79470cfa72e8e7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https://www.rbc.ru/newspaper/2020/11/02/5f9afd879a79470cfa72e8e7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4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10" w:tooltip="https://www.rbc.ru/finances/01/09/2025/68b5377c9a7947eace4c2a2c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https://www.rbc.ru/finances/01/09/2025/68b5377c9a7947eace4c2a2c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5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11" w:tooltip="https://cyberleninka.ru/article/n/vozmozhnosti-primeneniya-metodov-sotsialnoy-inzhenerii-v-organizatsii-telefonnogo-moshennichestva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https://cyberleninka.ru/article/n/vozmozhnosti-primeneniya-metodov-sotsialnoy-inzhenerii-v-organizatsii-telefonnogo-moshennichestva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6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</w:t>
      </w:r>
      <w:hyperlink r:id="rId12" w:tooltip="https://lenta.ru/brief/2025/05/14/tel/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https://lenta.ru/brief/2025/05/14/tel/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7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</w:t>
      </w:r>
      <w:hyperlink r:id="rId13" w:tooltip="https://moluch.ru/archive/542/118593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https://moluch.ru/archive/542/118593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8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Источник: </w:t>
      </w:r>
      <w:hyperlink r:id="rId14" w:tooltip="https://www.mk.ru/incident/2025/09/11/neozhidannaya-nastoychivost-telefonnykh-moshennikov-ustanovila-novyy-antirekord.html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https://www.mk.ru/incident/2025/09/11/neozhidannaya-nastoychivost-telefonnykh-moshennikov-ustanovila-novyy-antirekord.html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  <w:footnote w:id="19">
    <w:p>
      <w:pPr>
        <w:spacing w:line="240" w:lineRule="auto"/>
        <w:rPr>
          <w:rFonts w:ascii="Times New Roman" w:hAnsi="Times New Roman" w:eastAsia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Источник: </w:t>
      </w:r>
      <w:hyperlink r:id="rId15" w:tooltip="https://fincult.info/article/kak-bystro-raspoznat-moshennika/" w:history="1">
        <w:r>
          <w:rPr>
            <w:rFonts w:ascii="Times New Roman" w:hAnsi="Times New Roman" w:eastAsia="Times New Roman" w:cs="Times New Roman"/>
            <w:color w:val="1155cc"/>
            <w:sz w:val="16"/>
            <w:szCs w:val="16"/>
            <w:u w:val="single"/>
          </w:rPr>
          <w:t xml:space="preserve">https://fincult.info/article/kak-bystro-raspoznat-moshennika/</w:t>
        </w:r>
      </w:hyperlink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u w:val="none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u w:val="none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0"/>
  </w:num>
  <w:num w:numId="3">
    <w:abstractNumId w:val="48"/>
  </w:num>
  <w:num w:numId="4">
    <w:abstractNumId w:val="44"/>
  </w:num>
  <w:num w:numId="5">
    <w:abstractNumId w:val="22"/>
  </w:num>
  <w:num w:numId="6">
    <w:abstractNumId w:val="54"/>
  </w:num>
  <w:num w:numId="7">
    <w:abstractNumId w:val="1"/>
  </w:num>
  <w:num w:numId="8">
    <w:abstractNumId w:val="29"/>
  </w:num>
  <w:num w:numId="9">
    <w:abstractNumId w:val="9"/>
  </w:num>
  <w:num w:numId="10">
    <w:abstractNumId w:val="68"/>
  </w:num>
  <w:num w:numId="11">
    <w:abstractNumId w:val="57"/>
  </w:num>
  <w:num w:numId="12">
    <w:abstractNumId w:val="46"/>
  </w:num>
  <w:num w:numId="13">
    <w:abstractNumId w:val="19"/>
  </w:num>
  <w:num w:numId="14">
    <w:abstractNumId w:val="42"/>
  </w:num>
  <w:num w:numId="15">
    <w:abstractNumId w:val="28"/>
  </w:num>
  <w:num w:numId="16">
    <w:abstractNumId w:val="34"/>
  </w:num>
  <w:num w:numId="17">
    <w:abstractNumId w:val="12"/>
  </w:num>
  <w:num w:numId="18">
    <w:abstractNumId w:val="4"/>
  </w:num>
  <w:num w:numId="19">
    <w:abstractNumId w:val="6"/>
  </w:num>
  <w:num w:numId="20">
    <w:abstractNumId w:val="16"/>
  </w:num>
  <w:num w:numId="21">
    <w:abstractNumId w:val="49"/>
  </w:num>
  <w:num w:numId="22">
    <w:abstractNumId w:val="52"/>
  </w:num>
  <w:num w:numId="23">
    <w:abstractNumId w:val="32"/>
  </w:num>
  <w:num w:numId="24">
    <w:abstractNumId w:val="45"/>
  </w:num>
  <w:num w:numId="25">
    <w:abstractNumId w:val="60"/>
  </w:num>
  <w:num w:numId="26">
    <w:abstractNumId w:val="63"/>
  </w:num>
  <w:num w:numId="27">
    <w:abstractNumId w:val="47"/>
  </w:num>
  <w:num w:numId="28">
    <w:abstractNumId w:val="64"/>
  </w:num>
  <w:num w:numId="29">
    <w:abstractNumId w:val="70"/>
  </w:num>
  <w:num w:numId="30">
    <w:abstractNumId w:val="0"/>
  </w:num>
  <w:num w:numId="31">
    <w:abstractNumId w:val="21"/>
  </w:num>
  <w:num w:numId="32">
    <w:abstractNumId w:val="25"/>
  </w:num>
  <w:num w:numId="33">
    <w:abstractNumId w:val="8"/>
  </w:num>
  <w:num w:numId="34">
    <w:abstractNumId w:val="15"/>
  </w:num>
  <w:num w:numId="35">
    <w:abstractNumId w:val="13"/>
  </w:num>
  <w:num w:numId="36">
    <w:abstractNumId w:val="37"/>
  </w:num>
  <w:num w:numId="37">
    <w:abstractNumId w:val="10"/>
  </w:num>
  <w:num w:numId="38">
    <w:abstractNumId w:val="59"/>
  </w:num>
  <w:num w:numId="39">
    <w:abstractNumId w:val="51"/>
  </w:num>
  <w:num w:numId="40">
    <w:abstractNumId w:val="38"/>
  </w:num>
  <w:num w:numId="41">
    <w:abstractNumId w:val="61"/>
  </w:num>
  <w:num w:numId="42">
    <w:abstractNumId w:val="41"/>
  </w:num>
  <w:num w:numId="43">
    <w:abstractNumId w:val="20"/>
  </w:num>
  <w:num w:numId="44">
    <w:abstractNumId w:val="53"/>
  </w:num>
  <w:num w:numId="45">
    <w:abstractNumId w:val="55"/>
  </w:num>
  <w:num w:numId="46">
    <w:abstractNumId w:val="66"/>
  </w:num>
  <w:num w:numId="47">
    <w:abstractNumId w:val="23"/>
  </w:num>
  <w:num w:numId="48">
    <w:abstractNumId w:val="35"/>
  </w:num>
  <w:num w:numId="49">
    <w:abstractNumId w:val="11"/>
  </w:num>
  <w:num w:numId="50">
    <w:abstractNumId w:val="71"/>
  </w:num>
  <w:num w:numId="51">
    <w:abstractNumId w:val="17"/>
  </w:num>
  <w:num w:numId="52">
    <w:abstractNumId w:val="31"/>
  </w:num>
  <w:num w:numId="53">
    <w:abstractNumId w:val="69"/>
  </w:num>
  <w:num w:numId="54">
    <w:abstractNumId w:val="36"/>
  </w:num>
  <w:num w:numId="55">
    <w:abstractNumId w:val="62"/>
  </w:num>
  <w:num w:numId="56">
    <w:abstractNumId w:val="39"/>
  </w:num>
  <w:num w:numId="57">
    <w:abstractNumId w:val="65"/>
  </w:num>
  <w:num w:numId="58">
    <w:abstractNumId w:val="24"/>
  </w:num>
  <w:num w:numId="59">
    <w:abstractNumId w:val="43"/>
  </w:num>
  <w:num w:numId="60">
    <w:abstractNumId w:val="56"/>
  </w:num>
  <w:num w:numId="61">
    <w:abstractNumId w:val="30"/>
  </w:num>
  <w:num w:numId="62">
    <w:abstractNumId w:val="2"/>
  </w:num>
  <w:num w:numId="63">
    <w:abstractNumId w:val="3"/>
  </w:num>
  <w:num w:numId="64">
    <w:abstractNumId w:val="50"/>
  </w:num>
  <w:num w:numId="65">
    <w:abstractNumId w:val="14"/>
  </w:num>
  <w:num w:numId="66">
    <w:abstractNumId w:val="27"/>
  </w:num>
  <w:num w:numId="67">
    <w:abstractNumId w:val="67"/>
  </w:num>
  <w:num w:numId="68">
    <w:abstractNumId w:val="58"/>
  </w:num>
  <w:num w:numId="69">
    <w:abstractNumId w:val="7"/>
  </w:num>
  <w:num w:numId="70">
    <w:abstractNumId w:val="5"/>
  </w:num>
  <w:num w:numId="71">
    <w:abstractNumId w:val="33"/>
  </w:num>
  <w:num w:numId="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43">
    <w:name w:val="Heading 1 Char"/>
    <w:basedOn w:val="1318"/>
    <w:link w:val="1312"/>
    <w:uiPriority w:val="9"/>
    <w:rPr>
      <w:rFonts w:ascii="Arial" w:hAnsi="Arial" w:eastAsia="Arial" w:cs="Arial"/>
      <w:sz w:val="40"/>
      <w:szCs w:val="40"/>
    </w:rPr>
  </w:style>
  <w:style w:type="character" w:styleId="1144">
    <w:name w:val="Heading 2 Char"/>
    <w:basedOn w:val="1318"/>
    <w:link w:val="1313"/>
    <w:uiPriority w:val="9"/>
    <w:rPr>
      <w:rFonts w:ascii="Arial" w:hAnsi="Arial" w:eastAsia="Arial" w:cs="Arial"/>
      <w:sz w:val="34"/>
    </w:rPr>
  </w:style>
  <w:style w:type="character" w:styleId="1145">
    <w:name w:val="Heading 3 Char"/>
    <w:basedOn w:val="1318"/>
    <w:link w:val="1314"/>
    <w:uiPriority w:val="9"/>
    <w:rPr>
      <w:rFonts w:ascii="Arial" w:hAnsi="Arial" w:eastAsia="Arial" w:cs="Arial"/>
      <w:sz w:val="30"/>
      <w:szCs w:val="30"/>
    </w:rPr>
  </w:style>
  <w:style w:type="character" w:styleId="1146">
    <w:name w:val="Heading 4 Char"/>
    <w:basedOn w:val="1318"/>
    <w:link w:val="1315"/>
    <w:uiPriority w:val="9"/>
    <w:rPr>
      <w:rFonts w:ascii="Arial" w:hAnsi="Arial" w:eastAsia="Arial" w:cs="Arial"/>
      <w:b/>
      <w:bCs/>
      <w:sz w:val="26"/>
      <w:szCs w:val="26"/>
    </w:rPr>
  </w:style>
  <w:style w:type="character" w:styleId="1147">
    <w:name w:val="Heading 5 Char"/>
    <w:basedOn w:val="1318"/>
    <w:link w:val="1316"/>
    <w:uiPriority w:val="9"/>
    <w:rPr>
      <w:rFonts w:ascii="Arial" w:hAnsi="Arial" w:eastAsia="Arial" w:cs="Arial"/>
      <w:b/>
      <w:bCs/>
      <w:sz w:val="24"/>
      <w:szCs w:val="24"/>
    </w:rPr>
  </w:style>
  <w:style w:type="character" w:styleId="1148">
    <w:name w:val="Heading 6 Char"/>
    <w:basedOn w:val="1318"/>
    <w:link w:val="1317"/>
    <w:uiPriority w:val="9"/>
    <w:rPr>
      <w:rFonts w:ascii="Arial" w:hAnsi="Arial" w:eastAsia="Arial" w:cs="Arial"/>
      <w:b/>
      <w:bCs/>
      <w:sz w:val="22"/>
      <w:szCs w:val="22"/>
    </w:rPr>
  </w:style>
  <w:style w:type="paragraph" w:styleId="1149">
    <w:name w:val="Heading 7"/>
    <w:basedOn w:val="1311"/>
    <w:next w:val="1311"/>
    <w:link w:val="11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150">
    <w:name w:val="Heading 7 Char"/>
    <w:basedOn w:val="1318"/>
    <w:link w:val="11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151">
    <w:name w:val="Heading 8"/>
    <w:basedOn w:val="1311"/>
    <w:next w:val="1311"/>
    <w:link w:val="11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152">
    <w:name w:val="Heading 8 Char"/>
    <w:basedOn w:val="1318"/>
    <w:link w:val="1151"/>
    <w:uiPriority w:val="9"/>
    <w:rPr>
      <w:rFonts w:ascii="Arial" w:hAnsi="Arial" w:eastAsia="Arial" w:cs="Arial"/>
      <w:i/>
      <w:iCs/>
      <w:sz w:val="22"/>
      <w:szCs w:val="22"/>
    </w:rPr>
  </w:style>
  <w:style w:type="paragraph" w:styleId="1153">
    <w:name w:val="Heading 9"/>
    <w:basedOn w:val="1311"/>
    <w:next w:val="1311"/>
    <w:link w:val="11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54">
    <w:name w:val="Heading 9 Char"/>
    <w:basedOn w:val="1318"/>
    <w:link w:val="1153"/>
    <w:uiPriority w:val="9"/>
    <w:rPr>
      <w:rFonts w:ascii="Arial" w:hAnsi="Arial" w:eastAsia="Arial" w:cs="Arial"/>
      <w:i/>
      <w:iCs/>
      <w:sz w:val="21"/>
      <w:szCs w:val="21"/>
    </w:rPr>
  </w:style>
  <w:style w:type="paragraph" w:styleId="1155">
    <w:name w:val="No Spacing"/>
    <w:uiPriority w:val="1"/>
    <w:qFormat/>
    <w:pPr>
      <w:spacing w:before="0" w:after="0" w:line="240" w:lineRule="auto"/>
    </w:pPr>
  </w:style>
  <w:style w:type="character" w:styleId="1156">
    <w:name w:val="Title Char"/>
    <w:basedOn w:val="1318"/>
    <w:link w:val="1322"/>
    <w:uiPriority w:val="10"/>
    <w:rPr>
      <w:sz w:val="48"/>
      <w:szCs w:val="48"/>
    </w:rPr>
  </w:style>
  <w:style w:type="character" w:styleId="1157">
    <w:name w:val="Subtitle Char"/>
    <w:basedOn w:val="1318"/>
    <w:link w:val="1336"/>
    <w:uiPriority w:val="11"/>
    <w:rPr>
      <w:sz w:val="24"/>
      <w:szCs w:val="24"/>
    </w:rPr>
  </w:style>
  <w:style w:type="paragraph" w:styleId="1158">
    <w:name w:val="Quote"/>
    <w:basedOn w:val="1311"/>
    <w:next w:val="1311"/>
    <w:link w:val="1159"/>
    <w:uiPriority w:val="29"/>
    <w:qFormat/>
    <w:pPr>
      <w:ind w:left="720" w:right="720"/>
    </w:pPr>
    <w:rPr>
      <w:i/>
    </w:rPr>
  </w:style>
  <w:style w:type="character" w:styleId="1159">
    <w:name w:val="Quote Char"/>
    <w:link w:val="1158"/>
    <w:uiPriority w:val="29"/>
    <w:rPr>
      <w:i/>
    </w:rPr>
  </w:style>
  <w:style w:type="paragraph" w:styleId="1160">
    <w:name w:val="Intense Quote"/>
    <w:basedOn w:val="1311"/>
    <w:next w:val="1311"/>
    <w:link w:val="11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61">
    <w:name w:val="Intense Quote Char"/>
    <w:link w:val="1160"/>
    <w:uiPriority w:val="30"/>
    <w:rPr>
      <w:i/>
    </w:rPr>
  </w:style>
  <w:style w:type="paragraph" w:styleId="1162">
    <w:name w:val="Header"/>
    <w:basedOn w:val="1311"/>
    <w:link w:val="11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63">
    <w:name w:val="Header Char"/>
    <w:basedOn w:val="1318"/>
    <w:link w:val="1162"/>
    <w:uiPriority w:val="99"/>
  </w:style>
  <w:style w:type="paragraph" w:styleId="1164">
    <w:name w:val="Footer"/>
    <w:basedOn w:val="1311"/>
    <w:link w:val="11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165">
    <w:name w:val="Footer Char"/>
    <w:basedOn w:val="1318"/>
    <w:link w:val="1164"/>
    <w:uiPriority w:val="99"/>
  </w:style>
  <w:style w:type="paragraph" w:styleId="1166">
    <w:name w:val="Caption"/>
    <w:basedOn w:val="1311"/>
    <w:next w:val="13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167">
    <w:name w:val="Caption Char"/>
    <w:basedOn w:val="1166"/>
    <w:link w:val="1164"/>
    <w:uiPriority w:val="99"/>
  </w:style>
  <w:style w:type="table" w:styleId="1168">
    <w:name w:val="Table Grid"/>
    <w:basedOn w:val="13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69">
    <w:name w:val="Table Grid Light"/>
    <w:basedOn w:val="13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70">
    <w:name w:val="Plain Table 1"/>
    <w:basedOn w:val="13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71">
    <w:name w:val="Plain Table 2"/>
    <w:basedOn w:val="13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72">
    <w:name w:val="Plain Table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73">
    <w:name w:val="Plain Table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4">
    <w:name w:val="Plain Table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75">
    <w:name w:val="Grid Table 1 Light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6">
    <w:name w:val="Grid Table 1 Light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7">
    <w:name w:val="Grid Table 1 Light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8">
    <w:name w:val="Grid Table 1 Light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9">
    <w:name w:val="Grid Table 1 Light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0">
    <w:name w:val="Grid Table 1 Light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1">
    <w:name w:val="Grid Table 1 Light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2">
    <w:name w:val="Grid Table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3">
    <w:name w:val="Grid Table 2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4">
    <w:name w:val="Grid Table 2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5">
    <w:name w:val="Grid Table 2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6">
    <w:name w:val="Grid Table 2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7">
    <w:name w:val="Grid Table 2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8">
    <w:name w:val="Grid Table 2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89">
    <w:name w:val="Grid Table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0">
    <w:name w:val="Grid Table 3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1">
    <w:name w:val="Grid Table 3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2">
    <w:name w:val="Grid Table 3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3">
    <w:name w:val="Grid Table 3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4">
    <w:name w:val="Grid Table 3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5">
    <w:name w:val="Grid Table 3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96">
    <w:name w:val="Grid Table 4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97">
    <w:name w:val="Grid Table 4 - Accent 1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98">
    <w:name w:val="Grid Table 4 - Accent 2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99">
    <w:name w:val="Grid Table 4 - Accent 3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200">
    <w:name w:val="Grid Table 4 - Accent 4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201">
    <w:name w:val="Grid Table 4 - Accent 5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202">
    <w:name w:val="Grid Table 4 - Accent 6"/>
    <w:basedOn w:val="13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203">
    <w:name w:val="Grid Table 5 Dark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204">
    <w:name w:val="Grid Table 5 Dark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205">
    <w:name w:val="Grid Table 5 Dark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206">
    <w:name w:val="Grid Table 5 Dark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207">
    <w:name w:val="Grid Table 5 Dark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208">
    <w:name w:val="Grid Table 5 Dark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209">
    <w:name w:val="Grid Table 5 Dark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210">
    <w:name w:val="Grid Table 6 Colorful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211">
    <w:name w:val="Grid Table 6 Colorful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212">
    <w:name w:val="Grid Table 6 Colorful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213">
    <w:name w:val="Grid Table 6 Colorful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214">
    <w:name w:val="Grid Table 6 Colorful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215">
    <w:name w:val="Grid Table 6 Colorful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16">
    <w:name w:val="Grid Table 6 Colorful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17">
    <w:name w:val="Grid Table 7 Colorful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8">
    <w:name w:val="Grid Table 7 Colorful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9">
    <w:name w:val="Grid Table 7 Colorful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0">
    <w:name w:val="Grid Table 7 Colorful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1">
    <w:name w:val="Grid Table 7 Colorful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2">
    <w:name w:val="Grid Table 7 Colorful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3">
    <w:name w:val="Grid Table 7 Colorful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4">
    <w:name w:val="List Table 1 Light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5">
    <w:name w:val="List Table 1 Light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6">
    <w:name w:val="List Table 1 Light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7">
    <w:name w:val="List Table 1 Light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8">
    <w:name w:val="List Table 1 Light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29">
    <w:name w:val="List Table 1 Light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0">
    <w:name w:val="List Table 1 Light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1">
    <w:name w:val="List Table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232">
    <w:name w:val="List Table 2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233">
    <w:name w:val="List Table 2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234">
    <w:name w:val="List Table 2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235">
    <w:name w:val="List Table 2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236">
    <w:name w:val="List Table 2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237">
    <w:name w:val="List Table 2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38">
    <w:name w:val="List Table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9">
    <w:name w:val="List Table 3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0">
    <w:name w:val="List Table 3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1">
    <w:name w:val="List Table 3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2">
    <w:name w:val="List Table 3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3">
    <w:name w:val="List Table 3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4">
    <w:name w:val="List Table 3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5">
    <w:name w:val="List Table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6">
    <w:name w:val="List Table 4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7">
    <w:name w:val="List Table 4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8">
    <w:name w:val="List Table 4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9">
    <w:name w:val="List Table 4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0">
    <w:name w:val="List Table 4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1">
    <w:name w:val="List Table 4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2">
    <w:name w:val="List Table 5 Dark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3">
    <w:name w:val="List Table 5 Dark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4">
    <w:name w:val="List Table 5 Dark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5">
    <w:name w:val="List Table 5 Dark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6">
    <w:name w:val="List Table 5 Dark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7">
    <w:name w:val="List Table 5 Dark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8">
    <w:name w:val="List Table 5 Dark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59">
    <w:name w:val="List Table 6 Colorful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260">
    <w:name w:val="List Table 6 Colorful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261">
    <w:name w:val="List Table 6 Colorful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262">
    <w:name w:val="List Table 6 Colorful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263">
    <w:name w:val="List Table 6 Colorful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264">
    <w:name w:val="List Table 6 Colorful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265">
    <w:name w:val="List Table 6 Colorful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266">
    <w:name w:val="List Table 7 Colorful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267">
    <w:name w:val="List Table 7 Colorful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268">
    <w:name w:val="List Table 7 Colorful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269">
    <w:name w:val="List Table 7 Colorful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270">
    <w:name w:val="List Table 7 Colorful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271">
    <w:name w:val="List Table 7 Colorful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272">
    <w:name w:val="List Table 7 Colorful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273">
    <w:name w:val="Lined - Accent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74">
    <w:name w:val="Lined - Accent 1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75">
    <w:name w:val="Lined - Accent 2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76">
    <w:name w:val="Lined - Accent 3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77">
    <w:name w:val="Lined - Accent 4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78">
    <w:name w:val="Lined - Accent 5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79">
    <w:name w:val="Lined - Accent 6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80">
    <w:name w:val="Bordered &amp; Lined - Accent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81">
    <w:name w:val="Bordered &amp; Lined - Accent 1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82">
    <w:name w:val="Bordered &amp; Lined - Accent 2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83">
    <w:name w:val="Bordered &amp; Lined - Accent 3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84">
    <w:name w:val="Bordered &amp; Lined - Accent 4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85">
    <w:name w:val="Bordered &amp; Lined - Accent 5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86">
    <w:name w:val="Bordered &amp; Lined - Accent 6"/>
    <w:basedOn w:val="13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87">
    <w:name w:val="Bordered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288">
    <w:name w:val="Bordered - Accent 1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289">
    <w:name w:val="Bordered - Accent 2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290">
    <w:name w:val="Bordered - Accent 3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291">
    <w:name w:val="Bordered - Accent 4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292">
    <w:name w:val="Bordered - Accent 5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293">
    <w:name w:val="Bordered - Accent 6"/>
    <w:basedOn w:val="13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294">
    <w:name w:val="footnote text"/>
    <w:basedOn w:val="1311"/>
    <w:link w:val="1295"/>
    <w:uiPriority w:val="99"/>
    <w:semiHidden/>
    <w:unhideWhenUsed/>
    <w:pPr>
      <w:spacing w:after="40" w:line="240" w:lineRule="auto"/>
    </w:pPr>
    <w:rPr>
      <w:sz w:val="18"/>
    </w:rPr>
  </w:style>
  <w:style w:type="character" w:styleId="1295">
    <w:name w:val="Footnote Text Char"/>
    <w:link w:val="1294"/>
    <w:uiPriority w:val="99"/>
    <w:rPr>
      <w:sz w:val="18"/>
    </w:rPr>
  </w:style>
  <w:style w:type="character" w:styleId="1296">
    <w:name w:val="footnote reference"/>
    <w:basedOn w:val="1318"/>
    <w:uiPriority w:val="99"/>
    <w:unhideWhenUsed/>
    <w:rPr>
      <w:vertAlign w:val="superscript"/>
    </w:rPr>
  </w:style>
  <w:style w:type="paragraph" w:styleId="1297">
    <w:name w:val="endnote text"/>
    <w:basedOn w:val="1311"/>
    <w:link w:val="1298"/>
    <w:uiPriority w:val="99"/>
    <w:semiHidden/>
    <w:unhideWhenUsed/>
    <w:pPr>
      <w:spacing w:after="0" w:line="240" w:lineRule="auto"/>
    </w:pPr>
    <w:rPr>
      <w:sz w:val="20"/>
    </w:rPr>
  </w:style>
  <w:style w:type="character" w:styleId="1298">
    <w:name w:val="Endnote Text Char"/>
    <w:link w:val="1297"/>
    <w:uiPriority w:val="99"/>
    <w:rPr>
      <w:sz w:val="20"/>
    </w:rPr>
  </w:style>
  <w:style w:type="character" w:styleId="1299">
    <w:name w:val="endnote reference"/>
    <w:basedOn w:val="1318"/>
    <w:uiPriority w:val="99"/>
    <w:semiHidden/>
    <w:unhideWhenUsed/>
    <w:rPr>
      <w:vertAlign w:val="superscript"/>
    </w:rPr>
  </w:style>
  <w:style w:type="paragraph" w:styleId="1300">
    <w:name w:val="toc 1"/>
    <w:basedOn w:val="1311"/>
    <w:next w:val="1311"/>
    <w:uiPriority w:val="39"/>
    <w:unhideWhenUsed/>
    <w:pPr>
      <w:ind w:left="0" w:right="0" w:firstLine="0"/>
      <w:spacing w:after="57"/>
    </w:pPr>
  </w:style>
  <w:style w:type="paragraph" w:styleId="1301">
    <w:name w:val="toc 2"/>
    <w:basedOn w:val="1311"/>
    <w:next w:val="1311"/>
    <w:uiPriority w:val="39"/>
    <w:unhideWhenUsed/>
    <w:pPr>
      <w:ind w:left="283" w:right="0" w:firstLine="0"/>
      <w:spacing w:after="57"/>
    </w:pPr>
  </w:style>
  <w:style w:type="paragraph" w:styleId="1302">
    <w:name w:val="toc 3"/>
    <w:basedOn w:val="1311"/>
    <w:next w:val="1311"/>
    <w:uiPriority w:val="39"/>
    <w:unhideWhenUsed/>
    <w:pPr>
      <w:ind w:left="567" w:right="0" w:firstLine="0"/>
      <w:spacing w:after="57"/>
    </w:pPr>
  </w:style>
  <w:style w:type="paragraph" w:styleId="1303">
    <w:name w:val="toc 4"/>
    <w:basedOn w:val="1311"/>
    <w:next w:val="1311"/>
    <w:uiPriority w:val="39"/>
    <w:unhideWhenUsed/>
    <w:pPr>
      <w:ind w:left="850" w:right="0" w:firstLine="0"/>
      <w:spacing w:after="57"/>
    </w:pPr>
  </w:style>
  <w:style w:type="paragraph" w:styleId="1304">
    <w:name w:val="toc 5"/>
    <w:basedOn w:val="1311"/>
    <w:next w:val="1311"/>
    <w:uiPriority w:val="39"/>
    <w:unhideWhenUsed/>
    <w:pPr>
      <w:ind w:left="1134" w:right="0" w:firstLine="0"/>
      <w:spacing w:after="57"/>
    </w:pPr>
  </w:style>
  <w:style w:type="paragraph" w:styleId="1305">
    <w:name w:val="toc 6"/>
    <w:basedOn w:val="1311"/>
    <w:next w:val="1311"/>
    <w:uiPriority w:val="39"/>
    <w:unhideWhenUsed/>
    <w:pPr>
      <w:ind w:left="1417" w:right="0" w:firstLine="0"/>
      <w:spacing w:after="57"/>
    </w:pPr>
  </w:style>
  <w:style w:type="paragraph" w:styleId="1306">
    <w:name w:val="toc 7"/>
    <w:basedOn w:val="1311"/>
    <w:next w:val="1311"/>
    <w:uiPriority w:val="39"/>
    <w:unhideWhenUsed/>
    <w:pPr>
      <w:ind w:left="1701" w:right="0" w:firstLine="0"/>
      <w:spacing w:after="57"/>
    </w:pPr>
  </w:style>
  <w:style w:type="paragraph" w:styleId="1307">
    <w:name w:val="toc 8"/>
    <w:basedOn w:val="1311"/>
    <w:next w:val="1311"/>
    <w:uiPriority w:val="39"/>
    <w:unhideWhenUsed/>
    <w:pPr>
      <w:ind w:left="1984" w:right="0" w:firstLine="0"/>
      <w:spacing w:after="57"/>
    </w:pPr>
  </w:style>
  <w:style w:type="paragraph" w:styleId="1308">
    <w:name w:val="toc 9"/>
    <w:basedOn w:val="1311"/>
    <w:next w:val="1311"/>
    <w:uiPriority w:val="39"/>
    <w:unhideWhenUsed/>
    <w:pPr>
      <w:ind w:left="2268" w:right="0" w:firstLine="0"/>
      <w:spacing w:after="57"/>
    </w:pPr>
  </w:style>
  <w:style w:type="paragraph" w:styleId="1309">
    <w:name w:val="TOC Heading"/>
    <w:uiPriority w:val="39"/>
    <w:unhideWhenUsed/>
  </w:style>
  <w:style w:type="paragraph" w:styleId="1310">
    <w:name w:val="table of figures"/>
    <w:basedOn w:val="1311"/>
    <w:next w:val="1311"/>
    <w:uiPriority w:val="99"/>
    <w:unhideWhenUsed/>
    <w:pPr>
      <w:spacing w:after="0" w:afterAutospacing="0"/>
    </w:pPr>
  </w:style>
  <w:style w:type="paragraph" w:styleId="1311" w:default="1">
    <w:name w:val="Normal"/>
    <w:qFormat/>
  </w:style>
  <w:style w:type="paragraph" w:styleId="1312">
    <w:name w:val="Heading 1"/>
    <w:basedOn w:val="1311"/>
    <w:next w:val="1311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1313">
    <w:name w:val="Heading 2"/>
    <w:basedOn w:val="1311"/>
    <w:next w:val="1311"/>
    <w:uiPriority w:val="9"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1314">
    <w:name w:val="Heading 3"/>
    <w:basedOn w:val="1311"/>
    <w:next w:val="1311"/>
    <w:uiPriority w:val="9"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1315">
    <w:name w:val="Heading 4"/>
    <w:basedOn w:val="1311"/>
    <w:next w:val="1311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1316">
    <w:name w:val="Heading 5"/>
    <w:basedOn w:val="1311"/>
    <w:next w:val="1311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1317">
    <w:name w:val="Heading 6"/>
    <w:basedOn w:val="1311"/>
    <w:next w:val="1311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1318" w:default="1">
    <w:name w:val="Default Paragraph Font"/>
    <w:uiPriority w:val="1"/>
    <w:semiHidden/>
    <w:unhideWhenUsed/>
  </w:style>
  <w:style w:type="table" w:styleId="13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20" w:default="1">
    <w:name w:val="No List"/>
    <w:uiPriority w:val="99"/>
    <w:semiHidden/>
    <w:unhideWhenUsed/>
  </w:style>
  <w:style w:type="table" w:styleId="132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322">
    <w:name w:val="Title"/>
    <w:basedOn w:val="1311"/>
    <w:next w:val="1311"/>
    <w:uiPriority w:val="10"/>
    <w:qFormat/>
    <w:pPr>
      <w:keepLines/>
      <w:keepNext/>
      <w:spacing w:after="60"/>
    </w:pPr>
    <w:rPr>
      <w:sz w:val="52"/>
      <w:szCs w:val="52"/>
    </w:rPr>
  </w:style>
  <w:style w:type="table" w:styleId="1323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24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25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26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132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1328">
    <w:name w:val="annotation text"/>
    <w:link w:val="132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1329" w:customStyle="1">
    <w:name w:val="Текст примечания Знак"/>
    <w:basedOn w:val="1318"/>
    <w:link w:val="1328"/>
    <w:uiPriority w:val="99"/>
    <w:semiHidden/>
    <w:rPr>
      <w:sz w:val="20"/>
      <w:szCs w:val="20"/>
    </w:rPr>
  </w:style>
  <w:style w:type="character" w:styleId="1330">
    <w:name w:val="annotation reference"/>
    <w:basedOn w:val="1318"/>
    <w:uiPriority w:val="99"/>
    <w:semiHidden/>
    <w:unhideWhenUsed/>
    <w:rPr>
      <w:sz w:val="16"/>
      <w:szCs w:val="16"/>
    </w:rPr>
  </w:style>
  <w:style w:type="paragraph" w:styleId="1331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332">
    <w:name w:val="annotation subject"/>
    <w:basedOn w:val="1328"/>
    <w:next w:val="1328"/>
    <w:link w:val="1333"/>
    <w:uiPriority w:val="99"/>
    <w:semiHidden/>
    <w:unhideWhenUsed/>
    <w:rPr>
      <w:b/>
      <w:bCs/>
    </w:rPr>
  </w:style>
  <w:style w:type="character" w:styleId="1333" w:customStyle="1">
    <w:name w:val="Тема примечания Знак"/>
    <w:basedOn w:val="1329"/>
    <w:link w:val="1332"/>
    <w:uiPriority w:val="99"/>
    <w:semiHidden/>
    <w:rPr>
      <w:b/>
      <w:bCs/>
      <w:sz w:val="20"/>
      <w:szCs w:val="20"/>
    </w:rPr>
  </w:style>
  <w:style w:type="paragraph" w:styleId="1334">
    <w:name w:val="Revision"/>
    <w:hidden/>
    <w:uiPriority w:val="99"/>
    <w:semiHidden/>
    <w:pPr>
      <w:spacing w:line="240" w:lineRule="auto"/>
    </w:pPr>
  </w:style>
  <w:style w:type="paragraph" w:styleId="1335">
    <w:name w:val="List Paragraph"/>
    <w:uiPriority w:val="34"/>
    <w:qFormat/>
    <w:pPr>
      <w:contextualSpacing/>
      <w:ind w:left="720"/>
    </w:pPr>
  </w:style>
  <w:style w:type="paragraph" w:styleId="1336">
    <w:name w:val="Subtitle"/>
    <w:basedOn w:val="1311"/>
    <w:next w:val="1311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character" w:styleId="1337">
    <w:name w:val="Hyperlink"/>
    <w:basedOn w:val="1318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hyperlink" Target="https://fedsfm.ru/" TargetMode="External"/><Relationship Id="rId18" Type="http://schemas.openxmlformats.org/officeDocument/2006/relationships/hyperlink" Target="about:blan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tass.ru/ekonomika/23299665" TargetMode="External"/><Relationship Id="rId2" Type="http://schemas.openxmlformats.org/officeDocument/2006/relationships/hyperlink" Target="https://www.rbc.ru/rbcfreenews/67b59c829a79474f95af8059" TargetMode="External"/><Relationship Id="rId3" Type="http://schemas.openxmlformats.org/officeDocument/2006/relationships/hyperlink" Target="https://www.rbc.ru/rbcfreenews/67b59c829a79474f95af8059" TargetMode="External"/><Relationship Id="rId4" Type="http://schemas.openxmlformats.org/officeDocument/2006/relationships/hyperlink" Target="https://www.rbc.ru/finances/18/02/2025/67b489749a794780d1527516" TargetMode="External"/><Relationship Id="rId5" Type="http://schemas.openxmlformats.org/officeDocument/2006/relationships/hyperlink" Target="https://www.rbc.ru/finances/18/02/2025/67b489749a794780d1527516" TargetMode="External"/><Relationship Id="rId6" Type="http://schemas.openxmlformats.org/officeDocument/2006/relationships/hyperlink" Target="https://1prime.ru/20250225/moshenniki-855234347.html" TargetMode="External"/><Relationship Id="rId7" Type="http://schemas.openxmlformats.org/officeDocument/2006/relationships/hyperlink" Target="https://tass.ru/obschestvo/24573429" TargetMode="External"/><Relationship Id="rId8" Type="http://schemas.openxmlformats.org/officeDocument/2006/relationships/hyperlink" Target="https://ria.ru/20250705/kredity-2027344818.html" TargetMode="External"/><Relationship Id="rId9" Type="http://schemas.openxmlformats.org/officeDocument/2006/relationships/hyperlink" Target="https://www.rbc.ru/newspaper/2020/11/02/5f9afd879a79470cfa72e8e7" TargetMode="External"/><Relationship Id="rId10" Type="http://schemas.openxmlformats.org/officeDocument/2006/relationships/hyperlink" Target="https://www.rbc.ru/finances/01/09/2025/68b5377c9a7947eace4c2a2c" TargetMode="External"/><Relationship Id="rId11" Type="http://schemas.openxmlformats.org/officeDocument/2006/relationships/hyperlink" Target="https://cyberleninka.ru/article/n/vozmozhnosti-primeneniya-metodov-sotsialnoy-inzhenerii-v-organizatsii-telefonnogo-moshennichestva" TargetMode="External"/><Relationship Id="rId12" Type="http://schemas.openxmlformats.org/officeDocument/2006/relationships/hyperlink" Target="https://lenta.ru/brief/2025/05/14/tel/" TargetMode="External"/><Relationship Id="rId13" Type="http://schemas.openxmlformats.org/officeDocument/2006/relationships/hyperlink" Target="https://moluch.ru/archive/542/118593" TargetMode="External"/><Relationship Id="rId14" Type="http://schemas.openxmlformats.org/officeDocument/2006/relationships/hyperlink" Target="https://www.mk.ru/incident/2025/09/11/neozhidannaya-nastoychivost-telefonnykh-moshennikov-ustanovila-novyy-antirekord.html" TargetMode="External"/><Relationship Id="rId15" Type="http://schemas.openxmlformats.org/officeDocument/2006/relationships/hyperlink" Target="https://fincult.info/article/kak-bystro-raspoznat-moshennika/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U4IchfA4Lc38YvV+E8EGXpUwbw==">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A3B1BA-3890-4B79-9250-5767361D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Лекции Знание</cp:lastModifiedBy>
  <cp:revision>10</cp:revision>
  <dcterms:created xsi:type="dcterms:W3CDTF">2025-09-15T13:56:00Z</dcterms:created>
  <dcterms:modified xsi:type="dcterms:W3CDTF">2026-07-02T10:10:47Z</dcterms:modified>
</cp:coreProperties>
</file>