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Сценарий мастер-лекции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rtl w:val="0"/>
        </w:rPr>
        <w:t xml:space="preserve">«О первом председателе Всесоюзного общества по распространению политических и научных знаний С.И. Вавилове»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Москва, 2026 г.</w:t>
      </w:r>
      <w:r>
        <w:br w:type="page" w:clear="all"/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rtl w:val="0"/>
        </w:rPr>
        <w:t xml:space="preserve">Цель: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сформировать представление о первом председателе Всесоюзного общества по распространению политических и научных знаний С.И. Вавилове как общественно-научном деятеле и популяризаторе науки.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rtl w:val="0"/>
        </w:rPr>
        <w:t xml:space="preserve">Задачи: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Рассмотреть периоды научной, педагогической, общественной деятельности С.И. Вавилова и области его профессиональных интересов.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Определить роль С.И. Вавилова в становлении советской физики и отечественной науки в целом.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Способствовать формированию представлений о качественных характеристиках учёного, способного брать на себя ответственность за решение важных научных проблем.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rtl w:val="0"/>
        </w:rPr>
        <w:t xml:space="preserve">Формируемые ценности: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служение Отечеству и ответственность за его судьбу;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приоритет духовного над материальным;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высокие нравственные идеалы.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rtl w:val="0"/>
        </w:rPr>
        <w:t xml:space="preserve">Смысловые направления: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историческое просвещение.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rtl w:val="0"/>
        </w:rPr>
        <w:t xml:space="preserve">Продолжительность: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45 минут.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rtl w:val="0"/>
        </w:rPr>
        <w:t xml:space="preserve">Целевая аудитория: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школьники 5-9 классов, школьники 10-11 классов.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rtl w:val="0"/>
        </w:rPr>
        <w:t xml:space="preserve">Возрастное ограничение: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12+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rtl w:val="0"/>
        </w:rPr>
        <w:t xml:space="preserve">Тип методического материала: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лекция.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rtl w:val="0"/>
        </w:rPr>
        <w:t xml:space="preserve">Комплект материалов: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сценарий, презентация.</w:t>
      </w:r>
      <w:r>
        <w:br w:type="page" w:clear="all"/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rtl w:val="0"/>
        </w:rPr>
        <w:t xml:space="preserve">Слайд 1. Титульный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Добрый день, ребята! Сегодня мы с вами познакомимся с выдающимся у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чёным, основателем отечественной школы физической оптики и популяризатором науки — Сергеем Ивановичем Вавиловым. В этом году отмечается 135-летие со дня рождения Сергея Ивановича, как бы мы сказали сейчас — научного коммуникатора, заметившего однажды, что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  <w:rtl w:val="0"/>
        </w:rPr>
        <w:t xml:space="preserve">«умение мыслить и излагать свои мысли так, чтобы стать понятным каждому, это то, чего мы хотим вообще в науке»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  <w:vertAlign w:val="superscript"/>
        </w:rPr>
        <w:footnoteReference w:id="2"/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  <w:rtl w:val="0"/>
        </w:rPr>
        <w:t xml:space="preserve">.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rtl w:val="0"/>
        </w:rPr>
        <w:t xml:space="preserve">Слайд 2. Регистрация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rtl w:val="0"/>
        </w:rPr>
        <w:t xml:space="preserve">Чтобы сделать нашу встречу ещё полезнее, предлагаю вам пройти быструю регистрацию. Для этого отсканируйте QR-код, который вы видите на экране. Это займёт не больше минуты, но позволит вам полноценно участвовать в дальнейшем обсуждении темы. 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rtl w:val="0"/>
        </w:rPr>
        <w:t xml:space="preserve">Слайд 3. Жизненный путь и профессиональное становление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Сергей Иванович Вавилов родился в марте 1891 года в Москве. В 1901 году десятилетний Сергей поступил в училище, где особое внимание уделялось изучению естественно-научных дисциплин и иностранных языков. Именн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о в этот период у юноши зародился интерес к исследованиям, и он начал делать первые шаги в самостоятельной научной деятельности: мастерил самодельные приборы, ставил всевозможные опыты и готовил свой первый научный доклад «Радиоактивность и строение атома»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</w:rPr>
        <w:footnoteReference w:id="3"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После окончания училища Сергей Иванович поступил в Московский государственный университет на физико-математический факультет. Уж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е с первого курса он начал вести активную научную деятельность в области взаимодействия света и вещества: измерял яркость, силу света и цветовой диапазон различных световых источников, а также изучал скорость выцветания красок при повышенных температурах.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В 1914 году Сергей Вавилов окончил университет с дипломом первой степени и званием кандидата физико-математических наук.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За два месяца до начала первой мировой войны Вавилов был мобилизован в армию. На фронте он находился все четыре года войны. Он служил сначала рядовым, потом ефрейтором, затем младшим, а далее старшим унтер-офицером.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Во время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службы ему пригодились знания и опыт, полученные в университете. Спустя чуть больше года после начала службы Вавилов был переведён в радиодивизион Особой армии, где смог провести исследования, позволившие предложить ему новый метод пеленгации радиостанций.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В 1916 году, после сдачи соответствующих экзаменов, ему было присвоено звание прапорщика инженерных войск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</w:rPr>
        <w:footnoteReference w:id="4"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. А в 1918 четырёхлетняя служба была завершена, и Сергей Вавилов вернулся в Москву, где продолжил заниматься наукой, окончательно сформировав круг профессиональных интересов.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rtl w:val="0"/>
        </w:rPr>
        <w:t xml:space="preserve">Слайд 4. Вклад Вавилова в науку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Сергей Иванович Вавилов около 20 лет своей научной деятельности посвятил изучению люминесценции (холодного свечения тел) и природы света, впоследствии разработав на основе этих исследований технологию производства люминесцентных ламп.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В первые годы его научной деятельности область изучения люминесценции представляла незначительное направление физической оптики, 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зучавшей поведение и свойства света. Однако С.И. Вавилов, очарованный этой областью знаний, многое сделал для осуществления фундаментальных исследований, которые в дальнейшем сыграли важную роль в создании отечественной оптико-механической промышленности.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 период с 1918 по 1932 годы Сергей Иванович вёл преподавательскую и научно-исследовательскую деятельность. По возвращении с фронта он стал работать в Институте физики и биофизики Наркомздрава, руководителем которого был его учитель, академик П.П. Лазарев.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В это же время он начал читать лекции по физике в Московском высшем техническом училище (МВТУ), Московском высшем зоотехническом институте и на физико-математическом факультете Московского университета.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Подход Сергея Ивановича к преподаванию можно назвать 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ригинальным и вдохновляющим: его курсы содержали большое количество материалов, полученных из последней научной журнальной литературы, и характеризовались собственным взглядом на предмет. Академик Н.П. Дубинин так отзывался о его преподавательской манере: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  <w:rtl w:val="0"/>
        </w:rPr>
        <w:t xml:space="preserve">«Лекции С.И. Вавилова в зоотехническом институте носили особый характер. Он хотел, чтобы его слушатели почувствовали самый дух новой науки, и излагал успехи радиотехники, теорию относительности и теорию световых квантов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  <w:rtl w:val="0"/>
        </w:rPr>
        <w:t xml:space="preserve">, избегая при этом недоступного студентам-зоотехникам сложного математического аппарата. Уже тогда я был очарован его серьёзной вдумчивостью, существованием того очевидного громадного духовного мира, который скрывался за этим сдержанным, необычным обликом»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  <w:vertAlign w:val="superscript"/>
        </w:rPr>
        <w:footnoteReference w:id="5"/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  <w:rtl w:val="0"/>
        </w:rPr>
        <w:t xml:space="preserve">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rtl w:val="0"/>
        </w:rPr>
        <w:t xml:space="preserve">Слайд 5. Человек, способный взять на себя ответственность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31 января 1931 года Сергей Иванович был избран членом-корреспондентом Отделения математических и естественных наук (физиче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ские науки), а 29 марта 1932 года — действительным членом Академии наук СССР.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1932 году он был назначен научным ру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ководителем Государственного оптического института (ГОИ), а летом того же года вице-президент АН СССР В. Л. Комаров предложил академику С. И. Вавилову возглавить физический отдел Физико-математического института АН СССР, который был расположен в Ленинграде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 Поэтому Вавилов переехал из Москвы в Ленинград. Но его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 пребывание там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 было недолгим, потому что после перевода в 1934 году Академии наук из Ленинграда в Москву Физический институт тоже перебрался в столицу и стал самостоятельным учреждением. Таким он стал благодаря блестящим научно-организаторским способностям С.И. Вавилова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</w:rPr>
        <w:footnoteReference w:id="6"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Способности С.И. Вавилова формулировать и находить решение важных научных проблем, а также привлекать для этого необходимы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е ресурсы, выстраивать взаимоотношения между руководством Академии наук, советским правительством и партийным режимом определили профессиональный образ учёного как человека, способного взять на себя огромную ответственность и заботы, связанные с деятельнос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тью Академии наук СССР в исключительно трудные для страны послевоенные годы.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результате 17 июля 1945 года девяносто двумя голосами из девяноста четырёх С.И. Вавилов был избран новым президентом Академии наук СССР. В своём кратком выступлении после голосования Сергей Иванович поблагодарил за большое доверие и сказал: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rtl w:val="0"/>
        </w:rPr>
        <w:t xml:space="preserve">«Великая победа на полях сражений над когда-то страшным врагом ставит перед нашей стран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  <w:rtl w:val="0"/>
        </w:rPr>
        <w:t xml:space="preserve">ой с полной несомненностью необходимость таких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  <w:rtl w:val="0"/>
        </w:rPr>
        <w:t xml:space="preserve">же побед на фронте науки и культуры. Этого ждёт от нас наш народ и весь мир, к этому обязывает нас славная история нашего научного и культурного прошлого. Получить большие научные результаты, обозначающие новые пути в науке и новые перспективы для техники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—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  <w:rtl w:val="0"/>
        </w:rPr>
        <w:t xml:space="preserve"> вот задача, которой должна быть подчинена вся жизнь Академии во всех её сложных и разнообразных проявлениях»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  <w:vertAlign w:val="superscript"/>
        </w:rPr>
        <w:footnoteReference w:id="7"/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  <w:rtl w:val="0"/>
        </w:rPr>
        <w:t xml:space="preserve">.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rtl w:val="0"/>
        </w:rPr>
        <w:t xml:space="preserve">Слайд 6. Идея о популяризации научных знаний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Первый послевоенный пятилетний план научно-исследовательских работ Академии на 1946–1950 гг. был принят на Общем собрании АН СССР в июле 1946 года. План предусматривал разработку более 700 научных проблем как фундаментального, так и прикладного характера.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Сергей Иванович как талантливый учёный-физик и организатор уделял особое внимание решению наиболее актуальных для государства научно-технических проблем, связанных с освоением атомной энергии и развитием ракетной техники.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При Президиуме Академии была организована специальная Комиссия по космосу, в которую входили академики А.А. Благонравов, М.В. Келдыш, </w:t>
        <w:br/>
        <w:t xml:space="preserve">С.П. Королев и другие.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Функция Академии наук СССР как координирующего центра проявилась и в организации многочисленных всесоюзных совещаний и конференций, на которых обсуждались актуальные проблемы современной науки: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  <w:rtl w:val="0"/>
        </w:rPr>
        <w:t xml:space="preserve">«Эта деятельность Академии наук всегда была плодотворной, и её необходимо расширять и должным образом координировать»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, — говорил С.И. Вавилов на Общем собрании АН СССР 14 ноября 1949 года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</w:rPr>
        <w:footnoteReference w:id="8"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Сегодня для нас важно составить если не полное, то хотя бы многогранное представление о Сергее Ивановиче Вавилове, потому что его вклад в развитие науки и её распространение сложно переоценить.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По этой причине, создавая сегодня портрет Сергея Ивановича, мы обязательно должны обсудить ещё одну область его интересов, которых в действительности было огромное количество.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Сергей Иванович был страстным книголюбом-коллекционером (библиотека С.И. Вавилова насчитывала около 37 тысяч томов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</w:rPr>
        <w:footnoteReference w:id="9"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) и знатоком истории и фи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лософии науки. Он коллекционировал не только книги, но и знание иностранных языков. Вавилов неоднократно удивлял своих иностранных гостей прекрасным владением французским, немецким, английским, итальянским, польским языками. И даже латынь он знал прекрасно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</w:rPr>
        <w:footnoteReference w:id="10"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. Это позволяло Сергею Ивановичу знакомиться с мировой литературой на разные темы: от истории естествознания до истории искусства.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В своём дневнике он писал: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  <w:rtl w:val="0"/>
        </w:rPr>
        <w:t xml:space="preserve">«Если бы не было книг — жить бы почти не стоило бы. Книга лучше музыки, живописи, любви и вообще жизни. Я покупаю книги без удержу, иногда даже страшно становится и грустно. Вот умрёшь, и половина твоих книг окажется тобой не прочтена. Но все же покупаю. Н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  <w:rtl w:val="0"/>
        </w:rPr>
        <w:t xml:space="preserve">енавижу я пухлые современные книги “для любителей”, книжки только для глаз. Это уже не книжки. Вообще собирать стоит только книги и иногда картины. Приеду в Старицы, свободных будет 5 часов в день. Буду заниматься физикой, а на сон грядущий читать романы…»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  <w:vertAlign w:val="superscript"/>
        </w:rPr>
        <w:footnoteReference w:id="11"/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  <w:rtl w:val="0"/>
        </w:rPr>
        <w:t xml:space="preserve">.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Сергей Иванович имел непосредственное отношение к книгоизданию. Он возродил в Академии давнюю ломоно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совскую традицию — сочинение и издание учёными популярных произведений. Помимо этого, он сам выступал как автор ряда популярных книг и статей, знакомящих читателей с достижениями науки. Например, много изданий выдержала книга С.И. Вавилова «Глаз и Солнце».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ab/>
        <w:t xml:space="preserve">В научно-попул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ярной серии, выпущенной Академией наук СССР под редакцией С.И. Вавилова, были сотни великолепных книг, популяризирующих разные области научных знаний, например «Классики науки» (1945), «Литературные памятники» (1947), «Научное наследство» (1948) и другие.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ab/>
        <w:t xml:space="preserve">Научно-организационная деятельн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ость С.И. Вавилова была неутомимой и плодотворной. Важно отметить, что расцвет науки и культуры, произошедший в нашей стране в послевоенные годы, теснейшим образом связан с активной и разносторонней деятельностью президента АН СССР академика </w:t>
        <w:br/>
        <w:t xml:space="preserve">С.И. Вавилова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</w:rPr>
        <w:footnoteReference w:id="12"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rtl w:val="0"/>
        </w:rPr>
        <w:t xml:space="preserve">Слайд 7. От идеи к реализации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1 мая 1947 года группа государственных деятелей, учёных и работников искусства (среди которых были С.И. Вавилов, Б.Д. Греков, Н.С. Тихонов, </w:t>
        <w:br/>
        <w:t xml:space="preserve">Е.В. Тарле, А.И. Опарин) в печати обратилас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ь к интеллигенции с предложением создать Всесоюзное общество для распространения политических и научных знаний.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7 июля было принято ре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шение об учреждении Всесоюзного общества по распространению политических и научных знаний. Тогда же в Большом театре состоялось открытие общего собрания членов данного общества. С.И. Вавилов произнёс вступительное слово на открытии учредительного собрания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  <w:rtl w:val="0"/>
        </w:rPr>
        <w:t xml:space="preserve">(фрагмент)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: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  <w:rtl w:val="0"/>
        </w:rPr>
        <w:t xml:space="preserve">«Науке обучают, знание передаётся от одного человека к другому — в этом особый с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  <w:rtl w:val="0"/>
        </w:rPr>
        <w:t xml:space="preserve">мысл данного русского слова... Наше Общество должно быть проводником и посредником настоящих, высоких передовых научных знаний от специалистов к народу... Мы надеемся, что в рядах нашего Общества будет вся передовая научная интеллигенция Советского Союза».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В январе 1948 состоялся I съезд Всесоюзного общества по распространению политических и научных знаний, на котором были сформулированы основные результаты деятельности за прошедший период: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  <w:rtl w:val="0"/>
        </w:rPr>
        <w:t xml:space="preserve">«Правлением Общества проделана в сравнительно короткий срок большая организационн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  <w:rtl w:val="0"/>
        </w:rPr>
        <w:t xml:space="preserve">ая работа. Образовано 15 республиканских обществ, 18 отделений в городах РСФСР, в том числе такие крупные, как Ленинградское. В состав Общества входят около 6 тысяч действительных членов общества, до 400 членов-коллективов и до 500 членов-соревнователей». 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Согласно Уставу Общества, членами-соревнователями могли быть лица, принимающие участие в чтении лекций на основе одобренных Обществом текстов, в устройстве научных опытов, выставок, а также оказывающие Обществу другие виды помощи.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Во время этого съезда были одобрены мероприятия по изданию журнала «Наука и жизнь» и по подготовке к изда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нию общедоступной энциклопедии. В 1951 году было создано издательство «Знание» для выпуска научно-популярной литературы. А в 1963 году Всесоюзное общество по распространению политических и научных знаний было переименовано во Всесоюзное общество «Знание».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rtl w:val="0"/>
        </w:rPr>
        <w:t xml:space="preserve">Слайд 8. Общество «Знание» сегодня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Инициативы С.И. Вавилова по распространению просветительских 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научных знаний нашли поддержку в XXI веке. Так, 21 апреля 2021 года в ходе Послания Федеральному Собранию Президент Российской Федерации </w:t>
        <w:br/>
        <w:t xml:space="preserve">В.В. Путин заявил о необходимости перезапустить работу Российского общества «Знание» на современной цифровой платформе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</w:rPr>
        <w:footnoteReference w:id="13"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Сегодня общество «Знание» берёт на себя ответственную и благородную просветительскую 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иссию, собрав под своим крылом большую команду экспертов, просветителей, в том числе выдающихся людей, настоящих звёзд отечественной науки, экономики, промышленности, культуры, специалистов в сфере государственного управления и лидеров общественного мнения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</w:rPr>
        <w:footnoteReference w:id="14"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Общество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 «Знание» является крупнейшей просветительской организацией в России. Региональные отделения главной просветительской площадки страны действуют во всех 89 субъектах Российской Федерации. В 2025 году Российское общество «Знание» организовало свыше 84 тыс. 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ероприятий, охвативших аудиторию в 4,5 млн человек по всей стране, а просветительский контент, создаваемый организацией, набрал свыше 2,5 млрд просмотров. К проектам Общества присоединились Абхазия, Южная Осетия, Таджикистан, Армения, Беларусь, Кыргызстан.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Устойчивое и последовательное развитие деятельности Общества в рамках популяризации научных знаний и просвещения стало возможным благодаря приобщению разных целевых аудиторий, постоянному поиску новых подходов и экспериментов с форматами.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В результате системной работы просветительские инициативы организации вышли на качественно новый уровень и предложили обществу возможность объединения вокруг конструктивного досуга и ценности знаний.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rtl w:val="0"/>
        </w:rPr>
        <w:t xml:space="preserve">Слайд 9. Наука для всех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о всей своей деятельности С.И. Вавилов руководствовался стремлением передать народу достижения науки и желанием внести вклад в сокровищницу мировой науки и культуры. Ему удалось осуществить мечты многих русских учёных, стремившихся усилить роль науки в жиз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ни народов, приобщив широкие массы людей к научному знанию. Во многом благодаря деятельности Вавилова наука стала распространяться в доступной форме в виде книг, журналов, лекций, консультаций. Наука стала доступной для простых людей, практиков и новаторов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</w:rPr>
        <w:footnoteReference w:id="15"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80000" cy="243759"/>
                <wp:effectExtent l="0" t="0" r="0" b="0"/>
                <wp:docPr id="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3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080000" cy="24375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85.04pt;height:19.19pt;mso-wrap-distance-left:0.00pt;mso-wrap-distance-top:0.00pt;mso-wrap-distance-right:0.00pt;mso-wrap-distance-bottom:0.00pt;">
                <v:path textboxrect="0,0,0,0"/>
                <v:imagedata r:id="rId13" o:title=""/>
              </v:shape>
            </w:pict>
          </mc:Fallback>
        </mc:AlternateConten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Как вы думаете, какие качества учёного и человека помогли С.И. Вавилову свершить столько полезного для развития Академии наук и отечественной науки в целом?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  <w:rtl w:val="0"/>
        </w:rPr>
        <w:t xml:space="preserve">Ответы слушателей.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С.И. Вавилов — человек с блестящим талантом учёного-исследователя и учёного-организатора, человек большого личного обаяния, излучающий неисчерпаемый интерес к науке. По словам академика Д. В. Скобельцына,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  <w:rtl w:val="0"/>
        </w:rPr>
        <w:t xml:space="preserve">«люди, близко соприкасавшиеся с С.И. Вавиловым, знали его не только как крупнейшег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  <w:rtl w:val="0"/>
        </w:rPr>
        <w:t xml:space="preserve">о учёного и выдающегося государственного деятеля, но и как очень чуткого, отзывчивого, прекрасного человека. Обаятельный облик, большая принципиальность С.И. Вавилова внушили глубокую любовь и уважение всем, кто имел счастье работать под его руководством».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Эти замечательные качества в совокупности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с огромным трудолюбием, мягкой требовательностью, твёрдой волей и личным примером определили уважительное отношение к Сергею Ивановичу. В этом, вероятно, и заключался феномен благотворного влияния отдельной личности на работу огромного научного коллектива.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С.И. Вавилов глубоко и искренне любил науку, был прекрасным учёным, за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мечательным лектором и примером благородного служения своей Отчизне. Ему удалось внести существенный вклад в развитие науки и культуры XX века.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 сейчас предлагаю вам принять участие в небольшой викторине. Давайте закрепим знания, полученные сегодня!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80000" cy="215530"/>
                <wp:effectExtent l="0" t="0" r="0" b="0"/>
                <wp:docPr id="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14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080000" cy="2155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85.04pt;height:16.97pt;mso-wrap-distance-left:0.00pt;mso-wrap-distance-top:0.00pt;mso-wrap-distance-right:0.00pt;mso-wrap-distance-bottom:0.00pt;">
                <v:path textboxrect="0,0,0,0"/>
                <v:imagedata r:id="rId14" o:title=""/>
              </v:shape>
            </w:pict>
          </mc:Fallback>
        </mc:AlternateConten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rtl w:val="0"/>
        </w:rPr>
        <w:t xml:space="preserve">Слайд 10. Вопрос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В какой период С.И. Вавилов начал осуществлять самостоятельную научную деятельность?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А. Во время обучения в училище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Б. Во время обучения в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  <w:t xml:space="preserve">вузе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В. Во время военной службы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Г. В период преподавания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rtl w:val="0"/>
        </w:rPr>
        <w:t xml:space="preserve">Слайд 11. Ответ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  <w:rtl w:val="0"/>
        </w:rPr>
        <w:t xml:space="preserve">Правильный ответ — А. Во время обучения в училище.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Поступив в десятилетнем возрасте в училище, где особое внимание уделялось изучению естественно-научных дисциплин и иностранных языков, юный Вавилов начал самостоятельную научную деятельность.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rtl w:val="0"/>
        </w:rPr>
        <w:t xml:space="preserve">Слайд 12. Вопрос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Какая область научных исследований больше всего привлекала </w:t>
        <w:br/>
        <w:t xml:space="preserve">С.И. Вавилова?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А. Люминесценция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Б. Радиопеленгация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В. История естествознания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Г. Радиоактивное излучение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rtl w:val="0"/>
        </w:rPr>
        <w:t xml:space="preserve">Слайд 13. Ответ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  <w:rtl w:val="0"/>
        </w:rPr>
        <w:t xml:space="preserve">Правильный ответ — А. Люминесценция.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Сергей Иванович Вавилов около 20 лет своей научной деятельности посвятил изучению люминесценции (холодного свечения тел), разработав на основе этих исследований технологию производства люминесцентных ламп.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rtl w:val="0"/>
        </w:rPr>
        <w:t xml:space="preserve">Слайд 14. Вопрос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Сколько голосов получила кандидатура С.И. Вавилова во время выборов нового президента Академии наук?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А. 7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Б. 49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В. 92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Г. 94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rtl w:val="0"/>
        </w:rPr>
        <w:t xml:space="preserve">Слайд 15. Ответ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  <w:rtl w:val="0"/>
        </w:rPr>
        <w:t xml:space="preserve">Правильный ответ — В. 92.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Девяносто двумя голосами из девяноста четырёх С.И. Вавилов был избран новым президентом Академии наук СССР.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rtl w:val="0"/>
        </w:rPr>
        <w:t xml:space="preserve">Слайд 16. Вопрос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Где проходило открытие первого Всесоюзного общества по распространению политических и научных знаний?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А. В МГУ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Б. В Большом театре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В. В Академии наук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Г. В музее Ломоносова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rtl w:val="0"/>
        </w:rPr>
        <w:t xml:space="preserve">Слайд 17. Ответ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  <w:rtl w:val="0"/>
        </w:rPr>
        <w:t xml:space="preserve">Правильный ответ — Б. В Большом театре.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7 июля 1947 года в Большом театре в Москве состоялось торжественное открытие Всесоюзного общества по распространению политических и научных знаний.</w:t>
      </w:r>
      <w:r>
        <w:rPr>
          <w:rtl w:val="0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rtl w:val="0"/>
        </w:rPr>
        <w:t xml:space="preserve">Слайд 18. Вопрос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В каком году Всесоюзное общество по распространению политических и научных знаний было переименовано?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А. В 1947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Б. В 1948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В. В 1951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Г. В 1963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rtl w:val="0"/>
        </w:rPr>
        <w:t xml:space="preserve">Слайд 19. Ответ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  <w:rtl w:val="0"/>
        </w:rPr>
        <w:t xml:space="preserve">Правильный ответ — Г. В 1963 году.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В июне 1963 года было принято решение о переименовании Всесоюзного общества по распространению политических и научных знаний во Всесоюзное общество «Знание».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rtl w:val="0"/>
        </w:rPr>
        <w:t xml:space="preserve">Слайд 20. Обратная связь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Спасибо за участие в лекции!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Чтобы понять, была ли информация для вас полезна и интересна, прошу всех отсканировать QR-код, который вы видите на экране, и ответить на несколько коротких вопросов о выступлении: нам очень важно ваше мнение!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sectPr>
      <w:headerReference w:type="default" r:id="rId9"/>
      <w:headerReference w:type="first" r:id="rId10"/>
      <w:footerReference w:type="default" r:id="rId11"/>
      <w:footnotePr/>
      <w:endnotePr/>
      <w:type w:val="nextPage"/>
      <w:pgSz w:w="11909" w:h="16834" w:orient="portrait"/>
      <w:pgMar w:top="1134" w:right="1134" w:bottom="1134" w:left="1134" w:header="720" w:footer="72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0" w:firstLine="0"/>
      <w:jc w:val="right"/>
      <w:keepLines w:val="0"/>
      <w:keepNext w:val="0"/>
      <w:spacing w:before="0" w:after="0" w:line="240" w:lineRule="auto"/>
      <w:shd w:val="clear" w:color="auto" w:fill="auto"/>
      <w:widowControl/>
      <w:tabs>
        <w:tab w:val="center" w:pos="4677" w:leader="none"/>
        <w:tab w:val="right" w:pos="9355" w:leader="none"/>
      </w:tabs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fldChar w:fldCharType="begin"/>
      <w:instrText xml:space="preserve">PAGE</w:instrText>
      <w:fldChar w:fldCharType="separate"/>
      <w:fldChar w:fldCharType="end"/>
    </w:r>
    <w:r>
      <w:rPr>
        <w:rtl w:val="0"/>
      </w:rPr>
    </w:r>
    <w: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  <w:footnote w:id="2">
    <w:p>
      <w:p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http://e-heritage.ru/Book/10076331 — стр.134 (140) (дата обращения: 02.03.2026)</w:t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3">
    <w:p>
      <w:p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https://n-t.ru/ri/ls/up08.htm (дата обращения: 02.03.2026)</w:t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4">
    <w:p>
      <w:p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</w:t>
      </w:r>
      <w:hyperlink r:id="rId1" w:tooltip="http://genphys.phys.msu.ru/rus/history/GenPhys_chair_history_1.php" w:history="1">
        <w:r>
          <w:rPr>
            <w:rFonts w:ascii="Times New Roman" w:hAnsi="Times New Roman" w:eastAsia="Times New Roman" w:cs="Times New Roman"/>
            <w:sz w:val="20"/>
            <w:szCs w:val="20"/>
            <w:rtl w:val="0"/>
          </w:rPr>
          <w:t xml:space="preserve">http://genphys.phys.msu.ru/rus/history/GenPhys_chair_history_1.php</w:t>
        </w:r>
      </w:hyperlink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(дата обращения: 02.03.2026)</w:t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5">
    <w:p>
      <w:p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</w:t>
      </w:r>
      <w:hyperlink r:id="rId2" w:tooltip="https://n-t.ru/ri/ls/up08.htm" w:history="1">
        <w:r>
          <w:rPr>
            <w:rFonts w:ascii="Times New Roman" w:hAnsi="Times New Roman" w:eastAsia="Times New Roman" w:cs="Times New Roman"/>
            <w:color w:val="000000"/>
            <w:sz w:val="20"/>
            <w:szCs w:val="20"/>
            <w:u w:val="none"/>
            <w:rtl w:val="0"/>
          </w:rPr>
          <w:t xml:space="preserve">https://n-t.ru/ri/ls/up08.htm</w:t>
        </w:r>
      </w:hyperlink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(дата обращения: 02.03.2026)</w:t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6">
    <w:p>
      <w:p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</w:t>
      </w:r>
      <w:hyperlink r:id="rId3" w:tooltip="https://n-t.ru/ri/ls/up08.htm" w:history="1">
        <w:r>
          <w:rPr>
            <w:rFonts w:ascii="Times New Roman" w:hAnsi="Times New Roman" w:eastAsia="Times New Roman" w:cs="Times New Roman"/>
            <w:color w:val="000000"/>
            <w:sz w:val="20"/>
            <w:szCs w:val="20"/>
            <w:u w:val="none"/>
            <w:rtl w:val="0"/>
          </w:rPr>
          <w:t xml:space="preserve">https://n-t.ru/ri/ls/up08.htm</w:t>
        </w:r>
      </w:hyperlink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(дата обращения: 02.03.2026)</w:t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7">
    <w:p>
      <w:p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</w:t>
      </w:r>
      <w:hyperlink r:id="rId4" w:tooltip="https://hrono.ru/statii/2007/solov_vavil.html" w:history="1">
        <w:r>
          <w:rPr>
            <w:rFonts w:ascii="Times New Roman" w:hAnsi="Times New Roman" w:eastAsia="Times New Roman" w:cs="Times New Roman"/>
            <w:color w:val="000000"/>
            <w:sz w:val="20"/>
            <w:szCs w:val="20"/>
            <w:u w:val="none"/>
            <w:rtl w:val="0"/>
          </w:rPr>
          <w:t xml:space="preserve">https://hrono.ru/statii/2007/solov_vavil.html</w:t>
        </w:r>
      </w:hyperlink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(дата обращения: 02.03.2026)</w:t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8">
    <w:p>
      <w:p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</w:t>
      </w:r>
      <w:hyperlink r:id="rId5" w:tooltip="https://museum.itmo.ru/images/person/3/Vavilov1.pdf" w:history="1">
        <w:r>
          <w:rPr>
            <w:rFonts w:ascii="Times New Roman" w:hAnsi="Times New Roman" w:eastAsia="Times New Roman" w:cs="Times New Roman"/>
            <w:color w:val="000000"/>
            <w:sz w:val="20"/>
            <w:szCs w:val="20"/>
            <w:u w:val="none"/>
            <w:rtl w:val="0"/>
          </w:rPr>
          <w:t xml:space="preserve">https://museum.itmo.ru/images/person/3/Vavilov1.pdf</w:t>
        </w:r>
      </w:hyperlink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(дата обращения: 02.03.2026)</w:t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9">
    <w:p>
      <w:p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</w:t>
      </w:r>
      <w:hyperlink r:id="rId6" w:tooltip="https://www.ras.ru/vavilov/21a44a9a-ef59-4713-933a-28c33f09b232.aspx?hidetoc=0" w:history="1">
        <w:r>
          <w:rPr>
            <w:rFonts w:ascii="Times New Roman" w:hAnsi="Times New Roman" w:eastAsia="Times New Roman" w:cs="Times New Roman"/>
            <w:sz w:val="20"/>
            <w:szCs w:val="20"/>
            <w:rtl w:val="0"/>
          </w:rPr>
          <w:t xml:space="preserve">https://www.ras.ru/vavilov/21a44a9a-ef59-4713-933a-28c33f09b232.aspx?hidetoc=0</w:t>
        </w:r>
      </w:hyperlink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 (дата обращения: 02.03.2026)</w:t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10">
    <w:p>
      <w:p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</w:t>
      </w:r>
      <w:hyperlink r:id="rId7" w:tooltip="http://books.lebedev.ru/wp-content/uploads/2015/09/2005_berez.pdf" w:history="1">
        <w:r>
          <w:rPr>
            <w:rFonts w:ascii="Times New Roman" w:hAnsi="Times New Roman" w:eastAsia="Times New Roman" w:cs="Times New Roman"/>
            <w:sz w:val="20"/>
            <w:szCs w:val="20"/>
            <w:rtl w:val="0"/>
          </w:rPr>
          <w:t xml:space="preserve">http://books.lebedev.ru/wp-content/uploads/2015/09/2005_berez.pdf</w:t>
        </w:r>
      </w:hyperlink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— стр. 89 (дата обращения: 02.03.2026)</w:t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11">
    <w:p>
      <w:p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</w:t>
      </w:r>
      <w:hyperlink r:id="rId8" w:tooltip="http://books.lebedev.ru/wp-content/uploads/2015/09/2005_berez.pdf" w:history="1">
        <w:r>
          <w:rPr>
            <w:rFonts w:ascii="Times New Roman" w:hAnsi="Times New Roman" w:eastAsia="Times New Roman" w:cs="Times New Roman"/>
            <w:sz w:val="20"/>
            <w:szCs w:val="20"/>
            <w:rtl w:val="0"/>
          </w:rPr>
          <w:t xml:space="preserve">http://books.lebedev.ru/wp-content/uploads/2015/09/2005_berez.pdf</w:t>
        </w:r>
      </w:hyperlink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— стр. 45 (дата обращения: 02.03.2026)</w:t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12">
    <w:p>
      <w:p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</w:t>
      </w:r>
      <w:hyperlink r:id="rId9" w:tooltip="https://new.ras.ru/academy/ob-akademii/arkhivy-akademikov/arkhiv-akademika-s-i-vavilova/" w:history="1">
        <w:r>
          <w:rPr>
            <w:rFonts w:ascii="Times New Roman" w:hAnsi="Times New Roman" w:eastAsia="Times New Roman" w:cs="Times New Roman"/>
            <w:sz w:val="20"/>
            <w:szCs w:val="20"/>
            <w:rtl w:val="0"/>
          </w:rPr>
          <w:t xml:space="preserve">https://new.ras.ru/academy/ob-akademii/arkhivy-akademikov/arkhiv-akademika-s-i-vavilova/</w:t>
        </w:r>
      </w:hyperlink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 (дата обращения: 02.03.2026)</w:t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13">
    <w:p>
      <w:p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</w:t>
      </w:r>
      <w:hyperlink r:id="rId10" w:tooltip="http://kremlin.ru/events/president/news/65418" w:history="1">
        <w:r>
          <w:rPr>
            <w:rFonts w:ascii="Times New Roman" w:hAnsi="Times New Roman" w:eastAsia="Times New Roman" w:cs="Times New Roman"/>
            <w:sz w:val="20"/>
            <w:szCs w:val="20"/>
            <w:rtl w:val="0"/>
          </w:rPr>
          <w:t xml:space="preserve">http://kremlin.ru/events/president/news/65418</w:t>
        </w:r>
      </w:hyperlink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(дата обращения: 02.03.2026)</w:t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14">
    <w:p>
      <w:p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</w:t>
      </w:r>
      <w:hyperlink r:id="rId11" w:tooltip="http://kremlin.ru/events/president/news/73568" w:history="1">
        <w:r>
          <w:rPr>
            <w:rFonts w:ascii="Times New Roman" w:hAnsi="Times New Roman" w:eastAsia="Times New Roman" w:cs="Times New Roman"/>
            <w:sz w:val="20"/>
            <w:szCs w:val="20"/>
            <w:rtl w:val="0"/>
          </w:rPr>
          <w:t xml:space="preserve">http://kremlin.ru/events/president/news/73568</w:t>
        </w:r>
      </w:hyperlink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(дата обращения: 02.03.2026)</w:t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15">
    <w:p>
      <w:p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</w:t>
      </w:r>
      <w:hyperlink r:id="rId12" w:tooltip="http://www.e-heritage.ru/Book/10076331" w:history="1">
        <w:r>
          <w:rPr>
            <w:rFonts w:ascii="Times New Roman" w:hAnsi="Times New Roman" w:eastAsia="Times New Roman" w:cs="Times New Roman"/>
            <w:sz w:val="20"/>
            <w:szCs w:val="20"/>
            <w:highlight w:val="white"/>
            <w:rtl w:val="0"/>
          </w:rPr>
          <w:t xml:space="preserve">http://www.e-heritage.ru/Book/10076331</w:t>
        </w:r>
      </w:hyperlink>
      <w:r>
        <w:rPr>
          <w:rFonts w:ascii="Times New Roman" w:hAnsi="Times New Roman" w:eastAsia="Times New Roman" w:cs="Times New Roman"/>
          <w:sz w:val="20"/>
          <w:szCs w:val="20"/>
          <w:highlight w:val="white"/>
          <w:rtl w:val="0"/>
        </w:rPr>
        <w:t xml:space="preserve"> — стр. 615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(дата обращения: 02.03.2026)</w:t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line="240" w:lineRule="auto"/>
      <w:tabs>
        <w:tab w:val="center" w:pos="4677" w:leader="none"/>
        <w:tab w:val="right" w:pos="9355" w:leader="none"/>
      </w:tabs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1639408" cy="384962"/>
              <wp:effectExtent l="0" t="0" r="0" b="0"/>
              <wp:docPr id="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/>
                      <pic:nvPr/>
                    </pic:nvPicPr>
                    <pic:blipFill>
                      <a:blip r:embed="rId1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1639408" cy="384962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29.09pt;height:30.31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>
      <w:rPr>
        <w:rtl w:val="0"/>
      </w:rPr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0" w:firstLine="0"/>
      <w:jc w:val="center"/>
      <w:keepLines w:val="0"/>
      <w:keepNext w:val="0"/>
      <w:spacing w:before="0" w:after="0" w:line="240" w:lineRule="auto"/>
      <w:shd w:val="clear" w:color="auto" w:fill="auto"/>
      <w:widowControl/>
      <w:tabs>
        <w:tab w:val="center" w:pos="4677" w:leader="none"/>
        <w:tab w:val="right" w:pos="9355" w:leader="none"/>
      </w:tabs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639408" cy="384962"/>
              <wp:effectExtent l="0" t="0" r="0" b="0"/>
              <wp:docPr id="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/>
                      <pic:nvPr/>
                    </pic:nvPicPr>
                    <pic:blipFill>
                      <a:blip r:embed="rId1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1639408" cy="384962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129.09pt;height:30.31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>
      <w:rPr>
        <w:rtl w:val="0"/>
      </w:rPr>
    </w:r>
    <w: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40" w:hanging="360"/>
      </w:pPr>
      <w:rPr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u w:val="none"/>
      </w:rPr>
    </w:lvl>
    <w:lvl w:ilvl="2">
      <w:start w:val="1"/>
      <w:numFmt w:val="bullet"/>
      <w:isLgl w:val="false"/>
      <w:suff w:val="tab"/>
      <w:lvlText w:val="▪"/>
      <w:lvlJc w:val="left"/>
      <w:pPr>
        <w:ind w:left="288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u w:val="none"/>
      </w:rPr>
    </w:lvl>
    <w:lvl w:ilvl="5">
      <w:start w:val="1"/>
      <w:numFmt w:val="bullet"/>
      <w:isLgl w:val="false"/>
      <w:suff w:val="tab"/>
      <w:lvlText w:val="▪"/>
      <w:lvlJc w:val="left"/>
      <w:pPr>
        <w:ind w:left="504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u w:val="none"/>
      </w:rPr>
    </w:lvl>
    <w:lvl w:ilvl="8">
      <w:start w:val="1"/>
      <w:numFmt w:val="bullet"/>
      <w:isLgl w:val="false"/>
      <w:suff w:val="tab"/>
      <w:lvlText w:val="▪"/>
      <w:lvlJc w:val="left"/>
      <w:pPr>
        <w:ind w:left="7200" w:hanging="360"/>
      </w:pPr>
      <w:rPr>
        <w:u w:val="none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ru" w:eastAsia="zh-CN" w:bidi="ar-SA"/>
      </w:rPr>
    </w:rPrDefault>
    <w:pPrDefault>
      <w:pPr>
        <w:spacing w:before="0" w:beforeAutospacing="0" w:after="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870"/>
    <w:link w:val="86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870"/>
    <w:link w:val="86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870"/>
    <w:link w:val="86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870"/>
    <w:link w:val="86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870"/>
    <w:link w:val="865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870"/>
    <w:link w:val="866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869"/>
    <w:next w:val="86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7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869"/>
    <w:next w:val="86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7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869"/>
    <w:next w:val="86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7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86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870"/>
    <w:link w:val="867"/>
    <w:uiPriority w:val="10"/>
    <w:rPr>
      <w:sz w:val="48"/>
      <w:szCs w:val="48"/>
    </w:rPr>
  </w:style>
  <w:style w:type="character" w:styleId="37">
    <w:name w:val="Subtitle Char"/>
    <w:basedOn w:val="870"/>
    <w:link w:val="880"/>
    <w:uiPriority w:val="11"/>
    <w:rPr>
      <w:sz w:val="24"/>
      <w:szCs w:val="24"/>
    </w:rPr>
  </w:style>
  <w:style w:type="paragraph" w:styleId="38">
    <w:name w:val="Quote"/>
    <w:basedOn w:val="869"/>
    <w:next w:val="86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869"/>
    <w:next w:val="86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870"/>
    <w:link w:val="874"/>
    <w:uiPriority w:val="99"/>
  </w:style>
  <w:style w:type="character" w:styleId="45">
    <w:name w:val="Footer Char"/>
    <w:basedOn w:val="870"/>
    <w:link w:val="876"/>
    <w:uiPriority w:val="99"/>
  </w:style>
  <w:style w:type="paragraph" w:styleId="46">
    <w:name w:val="Caption"/>
    <w:basedOn w:val="869"/>
    <w:next w:val="86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876"/>
    <w:uiPriority w:val="99"/>
  </w:style>
  <w:style w:type="table" w:styleId="48">
    <w:name w:val="Table Grid"/>
    <w:basedOn w:val="87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86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870"/>
    <w:uiPriority w:val="99"/>
    <w:unhideWhenUsed/>
    <w:rPr>
      <w:vertAlign w:val="superscript"/>
    </w:rPr>
  </w:style>
  <w:style w:type="paragraph" w:styleId="178">
    <w:name w:val="endnote text"/>
    <w:basedOn w:val="86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870"/>
    <w:uiPriority w:val="99"/>
    <w:semiHidden/>
    <w:unhideWhenUsed/>
    <w:rPr>
      <w:vertAlign w:val="superscript"/>
    </w:rPr>
  </w:style>
  <w:style w:type="paragraph" w:styleId="181">
    <w:name w:val="toc 1"/>
    <w:basedOn w:val="869"/>
    <w:next w:val="86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69"/>
    <w:next w:val="86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69"/>
    <w:next w:val="86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69"/>
    <w:next w:val="86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69"/>
    <w:next w:val="86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69"/>
    <w:next w:val="86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69"/>
    <w:next w:val="86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69"/>
    <w:next w:val="86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69"/>
    <w:next w:val="86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869"/>
    <w:next w:val="869"/>
    <w:uiPriority w:val="99"/>
    <w:unhideWhenUsed/>
    <w:pPr>
      <w:spacing w:after="0" w:afterAutospacing="0"/>
    </w:pPr>
  </w:style>
  <w:style w:type="paragraph" w:styleId="861">
    <w:name w:val="Heading 1"/>
    <w:basedOn w:val="869"/>
    <w:next w:val="869"/>
    <w:pPr>
      <w:keepLines/>
      <w:keepNext/>
      <w:spacing w:before="400" w:after="120"/>
    </w:pPr>
    <w:rPr>
      <w:sz w:val="40"/>
      <w:szCs w:val="40"/>
    </w:rPr>
  </w:style>
  <w:style w:type="paragraph" w:styleId="862">
    <w:name w:val="Heading 2"/>
    <w:basedOn w:val="869"/>
    <w:next w:val="869"/>
    <w:pPr>
      <w:keepLines/>
      <w:keepNext/>
      <w:spacing w:before="360" w:after="120"/>
    </w:pPr>
    <w:rPr>
      <w:sz w:val="32"/>
      <w:szCs w:val="32"/>
    </w:rPr>
  </w:style>
  <w:style w:type="paragraph" w:styleId="863">
    <w:name w:val="Heading 3"/>
    <w:basedOn w:val="869"/>
    <w:next w:val="869"/>
    <w:pPr>
      <w:keepLines/>
      <w:keepNext/>
      <w:spacing w:before="320" w:after="80"/>
    </w:pPr>
    <w:rPr>
      <w:color w:val="434343"/>
      <w:sz w:val="28"/>
      <w:szCs w:val="28"/>
    </w:rPr>
  </w:style>
  <w:style w:type="paragraph" w:styleId="864">
    <w:name w:val="Heading 4"/>
    <w:basedOn w:val="869"/>
    <w:next w:val="869"/>
    <w:pPr>
      <w:keepLines/>
      <w:keepNext/>
      <w:spacing w:before="280" w:after="80"/>
    </w:pPr>
    <w:rPr>
      <w:color w:val="666666"/>
      <w:sz w:val="24"/>
      <w:szCs w:val="24"/>
    </w:rPr>
  </w:style>
  <w:style w:type="paragraph" w:styleId="865">
    <w:name w:val="Heading 5"/>
    <w:basedOn w:val="869"/>
    <w:next w:val="869"/>
    <w:pPr>
      <w:keepLines/>
      <w:keepNext/>
      <w:spacing w:before="240" w:after="80"/>
    </w:pPr>
    <w:rPr>
      <w:color w:val="666666"/>
    </w:rPr>
  </w:style>
  <w:style w:type="paragraph" w:styleId="866">
    <w:name w:val="Heading 6"/>
    <w:basedOn w:val="869"/>
    <w:next w:val="869"/>
    <w:pPr>
      <w:keepLines/>
      <w:keepNext/>
      <w:spacing w:before="240" w:after="80"/>
    </w:pPr>
    <w:rPr>
      <w:i/>
      <w:iCs/>
      <w:color w:val="666666"/>
    </w:rPr>
  </w:style>
  <w:style w:type="paragraph" w:styleId="867">
    <w:name w:val="Title"/>
    <w:basedOn w:val="869"/>
    <w:next w:val="869"/>
    <w:pPr>
      <w:keepLines/>
      <w:keepNext/>
      <w:spacing w:after="60"/>
    </w:pPr>
    <w:rPr>
      <w:sz w:val="52"/>
      <w:szCs w:val="52"/>
    </w:rPr>
  </w:style>
  <w:style w:type="paragraph" w:styleId="869" w:default="1">
    <w:name w:val="Normal"/>
  </w:style>
  <w:style w:type="character" w:styleId="870" w:default="1">
    <w:name w:val="Default Paragraph Font"/>
    <w:uiPriority w:val="1"/>
    <w:semiHidden/>
    <w:unhideWhenUsed/>
  </w:style>
  <w:style w:type="table" w:styleId="87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2" w:default="1">
    <w:name w:val="No List"/>
    <w:uiPriority w:val="99"/>
    <w:semiHidden/>
    <w:unhideWhenUsed/>
  </w:style>
  <w:style w:type="table" w:styleId="873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874">
    <w:name w:val="Header"/>
    <w:link w:val="875"/>
    <w:uiPriority w:val="99"/>
    <w:unhideWhenUsed/>
    <w:pPr>
      <w:spacing w:line="240" w:lineRule="auto"/>
      <w:tabs>
        <w:tab w:val="center" w:pos="4677" w:leader="none"/>
        <w:tab w:val="right" w:pos="9355" w:leader="none"/>
      </w:tabs>
    </w:pPr>
  </w:style>
  <w:style w:type="character" w:styleId="875" w:customStyle="1">
    <w:name w:val="Верхний колонтитул Знак"/>
    <w:basedOn w:val="870"/>
    <w:link w:val="874"/>
    <w:uiPriority w:val="99"/>
  </w:style>
  <w:style w:type="paragraph" w:styleId="876">
    <w:name w:val="Footer"/>
    <w:link w:val="877"/>
    <w:uiPriority w:val="99"/>
    <w:unhideWhenUsed/>
    <w:pPr>
      <w:spacing w:line="240" w:lineRule="auto"/>
      <w:tabs>
        <w:tab w:val="center" w:pos="4677" w:leader="none"/>
        <w:tab w:val="right" w:pos="9355" w:leader="none"/>
      </w:tabs>
    </w:pPr>
  </w:style>
  <w:style w:type="character" w:styleId="877" w:customStyle="1">
    <w:name w:val="Нижний колонтитул Знак"/>
    <w:basedOn w:val="870"/>
    <w:link w:val="876"/>
    <w:uiPriority w:val="99"/>
  </w:style>
  <w:style w:type="character" w:styleId="878">
    <w:name w:val="Hyperlink"/>
    <w:basedOn w:val="870"/>
    <w:uiPriority w:val="99"/>
    <w:unhideWhenUsed/>
    <w:rPr>
      <w:color w:val="0000ff" w:themeColor="hyperlink"/>
      <w:u w:val="single"/>
    </w:rPr>
  </w:style>
  <w:style w:type="character" w:styleId="879">
    <w:name w:val="Unresolved Mention"/>
    <w:basedOn w:val="870"/>
    <w:uiPriority w:val="99"/>
    <w:semiHidden/>
    <w:unhideWhenUsed/>
    <w:rPr>
      <w:color w:val="605e5c"/>
      <w:shd w:val="clear" w:color="auto" w:fill="e1dfdd"/>
    </w:rPr>
  </w:style>
  <w:style w:type="paragraph" w:styleId="880">
    <w:name w:val="Subtitle"/>
    <w:basedOn w:val="869"/>
    <w:next w:val="869"/>
    <w:pPr>
      <w:keepLines/>
      <w:keepNext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genphys.phys.msu.ru/rus/history/GenPhys_chair_history_1.php" TargetMode="External"/><Relationship Id="rId2" Type="http://schemas.openxmlformats.org/officeDocument/2006/relationships/hyperlink" Target="https://n-t.ru/ri/ls/up08.htm" TargetMode="External"/><Relationship Id="rId3" Type="http://schemas.openxmlformats.org/officeDocument/2006/relationships/hyperlink" Target="https://n-t.ru/ri/ls/up08.htm" TargetMode="External"/><Relationship Id="rId4" Type="http://schemas.openxmlformats.org/officeDocument/2006/relationships/hyperlink" Target="https://hrono.ru/statii/2007/solov_vavil.html" TargetMode="External"/><Relationship Id="rId5" Type="http://schemas.openxmlformats.org/officeDocument/2006/relationships/hyperlink" Target="https://museum.itmo.ru/images/person/3/Vavilov1.pdf" TargetMode="External"/><Relationship Id="rId6" Type="http://schemas.openxmlformats.org/officeDocument/2006/relationships/hyperlink" Target="https://www.ras.ru/vavilov/21a44a9a-ef59-4713-933a-28c33f09b232.aspx?hidetoc=0" TargetMode="External"/><Relationship Id="rId7" Type="http://schemas.openxmlformats.org/officeDocument/2006/relationships/hyperlink" Target="http://books.lebedev.ru/wp-content/uploads/2015/09/2005_berez.pdf" TargetMode="External"/><Relationship Id="rId8" Type="http://schemas.openxmlformats.org/officeDocument/2006/relationships/hyperlink" Target="http://books.lebedev.ru/wp-content/uploads/2015/09/2005_berez.pdf" TargetMode="External"/><Relationship Id="rId9" Type="http://schemas.openxmlformats.org/officeDocument/2006/relationships/hyperlink" Target="https://new.ras.ru/academy/ob-akademii/arkhivy-akademikov/arkhiv-akademika-s-i-vavilova/" TargetMode="External"/><Relationship Id="rId10" Type="http://schemas.openxmlformats.org/officeDocument/2006/relationships/hyperlink" Target="http://kremlin.ru/events/president/news/65418" TargetMode="External"/><Relationship Id="rId11" Type="http://schemas.openxmlformats.org/officeDocument/2006/relationships/hyperlink" Target="http://kremlin.ru/events/president/news/73568" TargetMode="External"/><Relationship Id="rId12" Type="http://schemas.openxmlformats.org/officeDocument/2006/relationships/hyperlink" Target="http://www.e-heritage.ru/Book/10076331" TargetMode="Externa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MsQzxclC7cMONHdGpU6hIZKxSw==">CgMxLjA4AHIhMXk3UDRyaXg2eElzVDk0TC1obDFvUFFGUTUzVEdEV01J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 Вольхина</cp:lastModifiedBy>
  <cp:revision>1</cp:revision>
  <dcterms:created xsi:type="dcterms:W3CDTF">2026-03-02T11:40:00Z</dcterms:created>
  <dcterms:modified xsi:type="dcterms:W3CDTF">2026-03-18T09:04:34Z</dcterms:modified>
</cp:coreProperties>
</file>