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мастер-лекции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Куда поступать? Помощь родителей при выборе профессии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Автор: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Ляпистова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Кристина Ивановна,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сотрудник ФГБНУ «Институт изучения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детства, семьи и воспитания»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2026 г.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Цель: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снизить тревожность родителей и вооружить их инструментами ненавязчивой поддержки подростка в выборе профессионального пути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Объяснить, как особенности подросткового возраста влияют на выбор направления.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Рассказать о методах изучения профессий и анализа программ учебных заведений.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Поделиться примерами подходов, которые помогут родителям поддержать свои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детей.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Рассмотреть влияние внешних факторов, таких как общество и медиа, на выбор профессии.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Формируемые ценности: 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достоинство;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права и свободы человека;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созидательный труд;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гуманизм.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Смысловое направление: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реализация потенциала каждого человека, развитие его талантов.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Продолжительность: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45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Целевая аудитория: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родители школьников.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18+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Тип методического материала: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лекция.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сценарий, презентация. 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t xml:space="preserve">Слайд 1. Инструкция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2. Титульный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обрый вечер, уважаемые родители! Я вижу в ваших глазах знакомое выражение — смесь тревоги, надежды и вопроса «Что же делать дальше?». Когда 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нок оканчивает выпускной класс, кажется, что от этого решения зависит вся его жизнь. И нам, родителям, очень хочется подстраховать, направить, сказать: «Иди туда, это над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жно!» Но часто наша помощь воспринимается в штыки. Почему? И как протянуть руку помощи так, чтобы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 оттолкнули? Об этом мы и поговорим сегодня.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3. Регистрация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Прежде чем мы продолжим, предлагаю вам пройти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быструю регистрацию. Для этого отсканируйте QR-код, который вы видите на экране, и ответьте на несколько вопросов. Это займет не больше минуты, но позволит вам полноценно участвовать в дальнейшем обсуждении темы. Спасибо за вашу активность и вовлеченность!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t xml:space="preserve">Слайд 4. Опрос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5.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Интерактив «Ладошки»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27000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080000" cy="27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85.04pt;height:21.26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Давайте начн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 с небольшого упражнения.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Поднимите, пожалуйста, руку те, кто уже точно знает, куда пойд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учиться ваш 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нок?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Участники поднимают руки.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теперь те, кто считает, что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ребён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 совсем не знает, чего хочет, и это вас пугает?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Наша задача сегодня — превратить ваш страх в ресурс для помощи.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Участники поднимают руки.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6.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Подростковый возраст: почему он сам не знает, чего хочет?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ервое, что нужно понять: нежелание выбирать или метания подростка — это часто не лень, а физиология и психология возраста.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1. Физиология: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 подростка бурно развивается лимбическая система (центр эмоций, удовольствия, 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хочу здесь и сейчас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»). Но префронтальная кора (центр планирования, анализа последствий, силы воли) созревает только к 20–23 годам. Поэтому фраза «Представь себя через 5 лет в этой профессии» для него — пустой звук. Он жив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сегодняшним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днём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Ему страшно делать выбор на 4-5 лет впер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д, потому что он не видит себя так далеко.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2. Психология: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главная задача возраста — сепарация (отделение от родителей). Если идея исходит от вас — даже гениальная — она автоматически может быть отвергнута просто потому, что это сказали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именно вы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3. Кризис идентичности: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вопрос «Кем я буду?» — это часть вопроса «Кто я?». И если 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ребён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 нет ответа на второй вопрос, ответ на первый дать невозможно.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7.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Вопрос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5600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707333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080000" cy="34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85.04pt;height:27.21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 вы думаете, что чувствует подросток, когда мы давим на него с выбором?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Ответы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участников.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бычно это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страх, злость, желание закрыться, апати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Наша задача — не требовать готового ответа сейчас, а помочь ему исследовать себя и мир, не мешая префронтальной коре созревать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! И как же нам сделать это «мягко»?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Давайте разбираться вместе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8.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Изучаем профессии и вузы: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етод «Научный подход»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Согласитесь, часто бывает: вы знаете, как поддержать, у вас в голове созрели гениальные идеи, но как только вы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начинаете говорить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— 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закатывает глаза, уходит в себя или огрызается. Знакомая ситуация? Почему так происходит? Потому что в вопросах будущего мы часто забываем, что перед нами не просто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ребён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ок, а личность, которая отчаянно пытается эту самую личность отстоять. И сегодня мы научимся тр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 важным вещам: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Слышать то, что стоит за словами подростка.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Говорить так, чтобы нас не воспринимали как врагов.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Создавать пространство, где страхи и мечты становятся темами для разговора, а не причиной для ссор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асто мы оперируем стереотипами: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кономика — это деньги»,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рист — это престижно». Но мир изменился. Профессии трансформируются.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9.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Метод 1: «Карта профессий будущего»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Вместо того чтобы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спрашивать: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«Кем ты будешь?», предложите исследовать, какие задачи вообще существуют в мире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римеры: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иоинженер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разработчик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нейроинтерфейсов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урбанист-эколог,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таргетолог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Покажите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ребён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 «Атлас новых профессий» или сайты по профориентации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proektoria.online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Билет в будущее, Навигатор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и т.д.)</w:t>
      </w:r>
      <w:r>
        <w:rPr>
          <w:rStyle w:val="724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Спросите: «Как тебе такая профессия — проектировщик умного дома? Что за человек, по-твоему, может этим заниматься?» Это безопасный разговор, он не про личный выбор, он про изучение реальности.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10.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Метод 2: «Анализ программ»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ребён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 говорит: «Пойду на дизайнера», мы часто пугаемся: «Ты будешь голодным художником!». Давайте сменим тактику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! 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айдите вдво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 на сайты 3-5 вузов, где есть эта специальность. И не смотрите на проходные баллы (это про страх), смотрите на содержание.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Вопрос: «Смотри, в этом вузе в программе «Дизайн» упор на компьютерную графику и анимацию, а в этом — на интерьеры и материалы. Где тебе интереснее копать?»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Вопрос: «Кто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препода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т? Есть ли практикующие дизайнеры или только профессора теории?»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Это переводит разговор из плоскости эмоций в плоскость анализа.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11.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Метод 3: «Профессиональные пробы» (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ини-стажировки)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Лучший способ проверить профессию — попробовать.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редложите 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нку взять интервью у человека, работающего в этой сфере. Не абстрактное «Что вы делаете?», а конкретное: «Что вам нравится в вашей работе больше всего? Что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беспокоит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 сколько вы вста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те?».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 пройти бесплатные онлайн-курсы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где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есть вводные модули. Если после 2 недель курса по программированию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плохо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 кода — это победа. Он понял это бесплатно и без поступления.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Вы дали ему инструмент попробовать, не давили на его решение, и он получил результат </w:t>
      </w: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lang w:eastAsia="ru-RU"/>
        </w:rPr>
        <w:t xml:space="preserve">сам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осознав, что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подходит, а что нет.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12.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Метод 4: 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ажность активного слушания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Необходимо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слышать, а не выносить приговор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Активное слушание — это не молчание. Это диалог телом и душой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Когда 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нок говорит о будущем, он часто сыплет словами, не до конца понимая их значение. Наша задача — помочь ему докопаться до сути. Но если мы начн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 перебивать с советами, мы собь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 его с толку.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Существуют основные правила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активного слушания: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Полное присутствие. Отложите телефон, выключите телевизор. Развернитесь к нему. Когда вы смотрите в глаза, а не в тарелку, это сигнал: «Ты для меня важен»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Наблюдение за невербал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ьными движениями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Подросток говорит «нормально», но барабанит пальцами по столу и краснеет? Значит, не нормально. Спросите: «Я вижу, ты как будто волнуешься, когда говоришь об этом. С чем это связано?»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Пауза. Не бойтесь тишины. Если 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нок замолчал, не спешите заполнять пустоту своими мыслями. Он думает. Дайте ему время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Я-сообщения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ответ на его чувства.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Не оценивайте, а отражайте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Вместо: «Ну что за ерунду ты говоришь!»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Скажите: «Я слышу, что тебе это действительно важно. Похоже, ты сам немного сомневаешься в этом выборе?»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13.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Метод 5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: 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ыстраиваем диалог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Существует два типа вопросов: открытые и закрытые. Закрытые предполагают ответ «да» или «нет», на них достаточно односложного ответа. Например, на вопрос: «Ты будешь поступать на инженера?» ребёнок сможет ответить «да»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диалога не получится.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 если задать открытый вопрос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например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«Что тебя привлекает в инженерном деле, а что отталкивает?»,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то тогда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подросток не сможет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ограничиться одним словом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так или иначе проанализирует свой интерес к выбранной сфере.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Давайте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разбер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м категории открытых вопросов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которые помогают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ребён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 понять себя: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Категория 1: Ценности и мотивация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«Если бы пришлось выбирать, ты бы предпочел работу, которая нравится, или работу с высокой зарплатой? Почему?» —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вопрос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помогает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дилемму: счастье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деньги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«Что для тебя важнее: помогать людям и чувствовать пользу или иметь много привилегий и «плюшек» (путешествия, служебная машина)?» —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вопрос помогает понять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свою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миссию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ценност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Категория 2: Условия труда и формат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«Ты больше любишь работать самостоятельно, чтобы никто не мешал, или в команде, когда можно обсудить?»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«Что тебе комфортнее: сидеть за компьютером и анализировать или быть в движении, общаться с людьми?»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Категория 3: Самоанализ</w:t>
      </w:r>
      <w:r>
        <w:rPr>
          <w:rFonts w:ascii="Times New Roman" w:hAnsi="Times New Roman" w:eastAsia="Times New Roman" w:cs="Times New Roman"/>
          <w:b/>
          <w:bCs/>
          <w:color w:val="00b05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(Упражнение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Неоконченные предложения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Это мощный инструмент. Можно предложить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ребён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ку закончить фразы письменно или устно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«Учителя и друзья всегда говорят, что я отлично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справляюсь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с...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«Когда я выйду на пенсию, я хочу, чтобы меня знали как...»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«Больше всего в моих нынешних занятиях мне нравится...»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01838" cy="300460"/>
                <wp:effectExtent l="0" t="0" r="0" b="0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970867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234289" cy="3085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94.63pt;height:23.66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авайте потренируемся. Я читаю утверждение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которое мог бы сказать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ребён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вы предлагаете свой вариант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открытого вопроса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активного слушания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Лектор зачитывает утверждения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а родители отвечают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(пример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«я хочу быть блогером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»….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родители отвечают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я хочу быть путешественником и работать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дистанте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 «пойду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айти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там много платят»; «лучше работать на себя, чем на какого-нибудь начальника»; «вообще не знаю, чего хочу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 т.д.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14.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Как делиться своим опытом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?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Три техники мягкого общения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0" b="0"/>
                <wp:docPr id="5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однимите руку те,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кто,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выбирая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профессию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шал от своих родителей фразу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старше, я лучше знаю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  <w:t xml:space="preserve">Участники поднимают руки.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Что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люди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обычно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чувств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уют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момент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Они чувствуют,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их самих и их чувства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обесцен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ивают.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Возможно,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испыт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ывают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волну агрессии внутри себя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Да,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потому что «я старше, я лучше знаю» и её аналоги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—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это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стоп-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фраз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они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подрыва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доверие и разруша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связь между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ребён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 и родителем.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езусловно, за этой фразой скрывается и опыт, и страх за «голодное» будущее вашего 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нка. Как же сделать так, чтобы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аш жизненный опыт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яблоком раздор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Как его передать, чтобы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ребён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 не воспринял это в штыки?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Есть правило: не давайте советов, пока вас не попросят или пока вы не спросите разрешения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Техника 1: «Можно, я расскажу историю?»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Вместо монолога «Я в твои годы...» спросите: «У меня был похожий случай. Хочешь расскажу, как я тогда поступил и к чему это привело?».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Это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даёт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ребён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ку право выбора: слушать или нет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Если он скажет «нет» — отступите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Техника 2: «Давай посмотрим с другой стороны» (Метод мозгового штурма)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Вы видите, что выбор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ребён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ведёт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тупик. 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говорите: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«Это глупость, ты не поступишь». Скажите: «Это интересный вариант. А давай подумаем, какие есть риски? И что мы можем сделать, чтобы их минимизировать? А если не получится, какой у нас план Б?». Вы не запрещаете, вы становитесь его аналитиком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Техника 3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елимся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ошибками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Дети не выносят поучающего тона. Им легче общаться 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живым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человеком.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Скажите: «Знаешь, я в свои 18 лет тоже ошибся/ошиблась. Я пош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 на экономиста, потому что папа сказал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престижно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сам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ненавидел цифры. И только в 30 лет рискнул заняться любимым делом. Я не хочу, чтобы ты терял 10 лет, как я. Давай подумаем, как тебе не наступить на мои грабли?» Это честно и сближает.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15.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Меняем фокус с «Ты должен» на «Я могу предложить»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редлагаю взять ручку и блокнот и записать шпаргалку. Меняем фокус: вместо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Ты должен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—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могу предложить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tbl>
      <w:tblPr>
        <w:tblStyle w:val="708"/>
        <w:tblW w:w="5000" w:type="pct"/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W w:w="2500" w:type="pct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Стоп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фразы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Рабочие фразы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500" w:type="pct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Я лучше знаю, как надо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Я ценю твоё мнение, расскажи, почему ты так думаешь?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500" w:type="pct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Ты еще ничего не понимаешь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Возможно, я ошибаюсь, но давай вместе разбер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ё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мся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500" w:type="pct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Это неперспективно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Что тебя привлекает в этом? Какие ты видишь плюсы и минусы?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500" w:type="pct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Все будут смеяться над таким выбором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Если ты боишься осуждения, давай подумаем, как тебя поддержать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2500" w:type="pct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Я старше, я лучше знаю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500" w:type="pct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 меня был похожий опыт. Хочешь, расскажу, к чему это привело?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contextualSpacing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contextualSpacing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16.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Четыре шага к б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езопасно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пространств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асто за агрессией или апатией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ребён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 стоит просто страх. Страх не поступить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вуз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страх разочаровать вас, страх выбрать не ту дорогу и испортить жизнь. Чтобы эти страхи не блокировали выбор, нужно их легализовать.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Шаг 1. Признайте его чувства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Когда 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нок говорит: «Боюсь, что не сдам ЕГЭ», не надо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отвечать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«Не бойся,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всё ты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сдашь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если не сдашь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буде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работать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за копейки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Это обесценивание.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Надо: «Я понимаю, это правда волнительно. Я тоже боюсь, когда у меня что-то важное. Давай подумаем, что может снизить тревогу?»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Шаг 2. Дайте право на ошибку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Скажите это вслух: «Ты знаешь, в 17 лет невозможно выбрать профессию раз и навсегда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Многие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люд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работают не по тому диплому, который получили. Мы просто выб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рем следующую ступеньку. Если она окажется не той, мы найд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 другую. Я буду рядом». Это снимает груз ответственности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выбора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всю жизнь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Шаг 3. Работа с формулой выбора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Хочу — Могу — Надо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(мягкая версия)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профориентации есть 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сткая формула. Мы же сделаем 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поддерживающей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ХОЧУ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ечты):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бсудите это без критики. «Если бы ты мог заниматься чем угодно, даже если это кажется невозможным,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чтобы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это было?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МОГУ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пособности): «Что у тебя хорошо получается? Что тебе легко дается? Что люди в тебе ценят?».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НАДО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еальность): «Давай посмотрим, где эти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Хочу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Могу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пересекаются с реальностью рынка. Какие профессии сейчас нужны, а какие — уходят?»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Наша задача — не вписать 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нка в формулу, а помочь ему самому увидеть, где его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хочу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требует подтянуть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могу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или где его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могу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можно применить в другой сфере, где это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надо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Шаг 4. Исследуем вместе, а не учим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Предложите совместные действия: «Давай сходим на день открытых дверей, но не как родитель и 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нок, а как два исследователя?» Или: «Я нашла статью о профессиях будущего, там есть про 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увлечение. Хочешь, вместе почитаем?»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Да, у вас тоже есть чувства. Если предложение явно опасное или вед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в никуда (например, поступать в сомнительный вуз без лицензии), вы можете сказать «нет». Но это должно быть честное «нет, потому что...», а не «нет, потому что я так сказала».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17.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Внешние факторы: медиа, блогеры и «мама сказала»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Мы жив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 не в вакууме. На 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нка давят: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Социальные сети и медиа: навязывание образов 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гкого успеха (блогеры, айтишники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которые постоянно отдыхают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тёплых странах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). Это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создаёт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иллюзию, что можно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стать успешным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быстро и сразу.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Общество: «Ты же девочка, иди в педагогический», «Ты же мальчик, должен уметь станки чинить».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Мнение друзей: «Пошли в медицинский, там весело».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18.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Как с этим работать?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Анализируем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лидеров мнений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Если 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нок хочет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подражать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блогер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не запрещайте, а разберите: «Круто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!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 как думаешь, сколько лет этот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блогер ш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 к этому? Что он делал до этого? Какой у него график? Какие навыки нужны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кроме харизмы?» Это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помогает ребёнку оценить профессию блогера реально, а не поддаться иллюзии, что всё просто.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numPr>
          <w:ilvl w:val="0"/>
          <w:numId w:val="6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Фильтруем тренды. Да, сейчас модно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Но через 4 года рынок труда изменится. Готовить 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нка нужно не к конкретной узкой профессии (она может уйти с рынка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труда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), а к развитию гибких навыков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soft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skills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): умение учиться, коммуникация, критическое мышление. Это база для любой профессии.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Главный совет: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 проециру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нка свои несбывшиеся мечты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стройте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завышенн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ожидани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У 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нка свой путь, вы только направляете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его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страхуете.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01838" cy="300460"/>
                <wp:effectExtent l="0" t="0" r="0" b="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970867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234289" cy="3085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94.63pt;height:23.66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Давайте немного поработаем в парах. Я раздам вам стикеры, а вы напишете на них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 сферы, которые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хоть немного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нравятся вашему 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нку. Например: спорт, компьютерные игры, общение. 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потом вы поменяетесь стикерами с соседом, и он должен придумать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профессию на стыке этих сфер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хотя бы двух из них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(Пример: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компьютерные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гры +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бщение = киберспортивный комментатор или организатор турниров. Спорт +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гры = разработчик фитнес-приложений).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27369"/>
                <wp:effectExtent l="0" t="0" r="0" b="0"/>
                <wp:docPr id="7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40000" cy="227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113.39pt;height:17.90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Посмотрите, сколько интересны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профессий у вас получилось! Обсуждая это с ребёнком, вы сможете помочь ему определить вектор развития своих интересов.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Слайд 19.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Почему важно учитывать интересы реб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нка при выборе вуза и профессии?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Учёт интересов ребёнка при выборе вуза и профессии важен по нескольким причинам: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709"/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Повыш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ается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мотиваци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и вовлечённост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 учёбу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Ребёнок, выбравший профессию, соответствующ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ую своим интересам и склонностям, чаще проявляет высокую учебную активность и демонстрирует большую увлечённость предметом. Когда дело интересно, учиться легче и приятнее, что положительно сказывается на успеваемости и дальнейшем профессиональном развитии.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Улучш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ается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самооценк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и уверенност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в себе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Занимаясь любимым делом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ребёнок получает позитивный опыт достижений и успехов, что способствует укреплению веры в свои силы и повышает уверенность в будущем. Человек, занимающийся интересным и увлекательным делом, реже сталкивается с чувством неудовлетворенности собой и жизнью.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Минимиз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ируется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риск разочарований и переориентации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Нередко случается, что неподходящие профессии приводят к профессиональным кризисам, апатии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неуверенности в себе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Учтя интересы ребёнка заранее, родители уменьшают вероятность возникновения таких проблем, поскольку выбранная сфера деятельности будет соответствовать внутренним желаниям и потребностям.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numPr>
          <w:ilvl w:val="0"/>
          <w:numId w:val="7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Формир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уется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гармоничн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ая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личност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азвитие в рамках интересных областей позволяет ребёнку раскрыть потенциал, реализовать таланты и стать уверенным специалистом, способным внести вклад в развитие общества. Интересная работа приносит удовлетворение и радость, делая жизнь полнее и счастливее.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Таким образом, уч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 интересов ребёнка играет решающую роль в формировании успешного взрослого, способного достигать поставленных целей и получать удовольствие от своей деятельности.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Слайд 20.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Какие риски возникают при игнорировании интересов реб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нка при выборе вуза?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Игнорирование интересов ребёнка при выборе вуза и профессии несёт ряд серьёзных рисков, которые могут негативно сказываться на всех аспектах жизни: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r>
    </w:p>
    <w:p>
      <w:pPr>
        <w:pStyle w:val="709"/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Низкая мотивация и академическая неуспеваемость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Дети, поступ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ившие на специальности, не соответствующие их интересам, зачастую теряют интерес к обучению, пропускают занятия, демонстрируют низкую успеваемость и испытывают проблемы с освоением учебной программы. Без внутренней мотивации сложно добиться успеха в учебе.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Профессиональное выгорание и стресс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Жизнь и карьера, построенная вокруг чуждых интересов, может привести к хроническому стрессу, усталости и профессиональному выгоранию. Работа становится рутинной обязанностью, лишённой радости и удовлетворения.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Отсутствие личностного роста и удовлетворённости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Человек, работающий в нелюбимой области, редко достигает высоких результатов и полноценно раскрывает свои способности. Чувство недовольства работой отражается на общем уровне счастья и личной реализации.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Психологические проблемы и снижение качества жизни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Долгосроч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ное занятие деятельностью, не соответствующей личным предпочтениям, может приводить к тревожности, депрессиям и другим проблемам с психическим здоровьем. Постоянное напряжение и недовольство снижают качество жизни и ухудшают отношения с окружающими людьми.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Утрата доверия и ухудшение отношений с семьёй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709"/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Принуждение ребёнка выбрать вуз вопреки собственным интересам может вызвать конфликт поколений, обиду и отдаление от семьи. Дети начинают воспринимать советы родителей как вмешательство и контроль, что снижает уровень доверия и взаимопонимания.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Игнорируя интересы ребёнка при выборе вуза, родители рискуют нанести непоправимый ущерб его будущему счастью, здоровью и развитию. Поэтому крайне важно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прислушиваться к пожеланиям ребёнка, помогать ему осознавать свои цели и стремиться к выбору, соответствующему его истинным талантам и желаниям.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21.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Заключение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ыбор профессии — это не экзамен, который нужно сдать на «отлично» любой ценой. Это исследовательский проект, который вы проходите вместе. Помните: ваша главная задача — не привести реб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нка в нужный вуз, а сохранить с ним связь. Если выбо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 окажется неудачным, он должен знать, что ему есть к кому прийти за поддержкой, а не бояться услышать: «Я же тебе говорил!». Безопасное пространство — это место, где можно ошибаться, мечтать и обсуждать страхи, зная, что тебя любят просто так, а не за пят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ё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рку в аттестате.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Помните главные правила: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Слушайте, чтобы понять, а не чтобы оценить.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Помогайте искать информацию, а не давайте готовые ответы.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Предлагайте варианты, а не требуйте.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Будьте на его стороне, даже если он захочет все поменять через год.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Ваша любовь и принятие — это тот тыл, который дает ему смелость делать выбор и нести за него ответственность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Слайд 21. Обратная связь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за внимание! Надеюсь, вам было интересно сегодня, и вы узнали что-то новое или закрепили уже имеющиеся знания, а сейчас прошу вас оставить обратную связь по QR-коду, который вы видите на экране.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Слайд 22. Полезные ссылки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Источники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721"/>
        <w:numPr>
          <w:ilvl w:val="0"/>
          <w:numId w:val="9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Атлас новых профессий 3.0 / Д. Варламова, Е. Михайлова, Е. Судаков.</w:t>
      </w:r>
      <w:r>
        <w:rPr>
          <w:color w:val="0f1115"/>
          <w:sz w:val="28"/>
          <w:szCs w:val="28"/>
        </w:rPr>
      </w:r>
    </w:p>
    <w:p>
      <w:pPr>
        <w:pStyle w:val="721"/>
        <w:numPr>
          <w:ilvl w:val="0"/>
          <w:numId w:val="9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Бурлакова, Л. Призвание. Как понять себя и найти свой путь в жизни: гайд для подростков.</w:t>
      </w:r>
      <w:r>
        <w:rPr>
          <w:color w:val="0f1115"/>
          <w:sz w:val="28"/>
          <w:szCs w:val="28"/>
        </w:rPr>
      </w:r>
    </w:p>
    <w:p>
      <w:pPr>
        <w:pStyle w:val="721"/>
        <w:numPr>
          <w:ilvl w:val="0"/>
          <w:numId w:val="9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Давыдова, Э. Характер ребёнка — приговор? Книга о том, как помочь ребёнку выбрать профессию.</w:t>
      </w:r>
      <w:r>
        <w:rPr>
          <w:color w:val="0f1115"/>
          <w:sz w:val="28"/>
          <w:szCs w:val="28"/>
        </w:rPr>
      </w:r>
    </w:p>
    <w:p>
      <w:pPr>
        <w:pStyle w:val="721"/>
        <w:numPr>
          <w:ilvl w:val="0"/>
          <w:numId w:val="9"/>
        </w:numPr>
        <w:jc w:val="both"/>
        <w:spacing w:before="0" w:beforeAutospacing="0" w:after="0" w:afterAutospacing="0" w:line="360" w:lineRule="auto"/>
        <w:shd w:val="clear" w:color="auto" w:fill="ffffff"/>
        <w:rPr>
          <w:sz w:val="28"/>
          <w:szCs w:val="28"/>
        </w:rPr>
      </w:pPr>
      <w:r>
        <w:rPr>
          <w:color w:val="0f1115"/>
          <w:sz w:val="28"/>
          <w:szCs w:val="28"/>
        </w:rPr>
        <w:t xml:space="preserve">Ильин, А. Жизнь после школы.</w:t>
      </w:r>
      <w:r>
        <w:rPr>
          <w:sz w:val="28"/>
          <w:szCs w:val="28"/>
        </w:rPr>
      </w:r>
    </w:p>
    <w:p>
      <w:pPr>
        <w:pStyle w:val="721"/>
        <w:numPr>
          <w:ilvl w:val="0"/>
          <w:numId w:val="9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Козодой, М. Как помочь ребёнку найти свой путь в жизни. Советы для родителей.</w:t>
      </w:r>
      <w:r>
        <w:rPr>
          <w:color w:val="0f1115"/>
          <w:sz w:val="28"/>
          <w:szCs w:val="28"/>
        </w:rPr>
      </w:r>
    </w:p>
    <w:p>
      <w:pPr>
        <w:pStyle w:val="721"/>
        <w:numPr>
          <w:ilvl w:val="0"/>
          <w:numId w:val="9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Литвак, Н. Формула призвания. Семь правил выбора вуза.</w:t>
      </w:r>
      <w:r>
        <w:rPr>
          <w:color w:val="0f1115"/>
          <w:sz w:val="28"/>
          <w:szCs w:val="28"/>
        </w:rPr>
      </w:r>
    </w:p>
    <w:p>
      <w:pPr>
        <w:pStyle w:val="721"/>
        <w:numPr>
          <w:ilvl w:val="0"/>
          <w:numId w:val="9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Парнов</w:t>
      </w:r>
      <w:r>
        <w:rPr>
          <w:color w:val="0f1115"/>
          <w:sz w:val="28"/>
          <w:szCs w:val="28"/>
        </w:rPr>
        <w:t xml:space="preserve">, Д. Кем быть? Секреты выбора профессии. Книга, с которой начинается карьера.</w:t>
      </w:r>
      <w:r>
        <w:rPr>
          <w:color w:val="0f1115"/>
          <w:sz w:val="28"/>
          <w:szCs w:val="28"/>
        </w:rPr>
      </w:r>
    </w:p>
    <w:p>
      <w:pPr>
        <w:pStyle w:val="721"/>
        <w:numPr>
          <w:ilvl w:val="0"/>
          <w:numId w:val="9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Тундалева</w:t>
      </w:r>
      <w:r>
        <w:rPr>
          <w:color w:val="0f1115"/>
          <w:sz w:val="28"/>
          <w:szCs w:val="28"/>
        </w:rPr>
        <w:t xml:space="preserve">, В. Как выбрать профессию в 17 лет.</w:t>
      </w:r>
      <w:r>
        <w:rPr>
          <w:color w:val="0f1115"/>
          <w:sz w:val="28"/>
          <w:szCs w:val="28"/>
        </w:rPr>
      </w:r>
    </w:p>
    <w:p>
      <w:pPr>
        <w:pStyle w:val="721"/>
        <w:numPr>
          <w:ilvl w:val="0"/>
          <w:numId w:val="9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Ценностно-моральные и когнитивные факторы становления субъекта профессионального самоопределения в подростковом и юношеском возрасте: монография / Н. С. </w:t>
      </w:r>
      <w:r>
        <w:rPr>
          <w:color w:val="0f1115"/>
          <w:sz w:val="28"/>
          <w:szCs w:val="28"/>
        </w:rPr>
        <w:t xml:space="preserve">Пряжников</w:t>
      </w:r>
      <w:r>
        <w:rPr>
          <w:color w:val="0f1115"/>
          <w:sz w:val="28"/>
          <w:szCs w:val="28"/>
        </w:rPr>
        <w:t xml:space="preserve">, С. В. Молчанов [и др.]. </w:t>
      </w:r>
      <w:r>
        <w:rPr>
          <w:color w:val="0f1115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/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722"/>
        <w:rPr>
          <w:rFonts w:ascii="Times New Roman" w:hAnsi="Times New Roman" w:cs="Times New Roman"/>
        </w:rPr>
      </w:pPr>
      <w:r>
        <w:rPr>
          <w:rStyle w:val="724"/>
        </w:rPr>
        <w:footnoteRef/>
      </w:r>
      <w:r>
        <w:rPr>
          <w:rFonts w:ascii="Times New Roman" w:hAnsi="Times New Roman" w:cs="Times New Roman"/>
        </w:rPr>
        <w:t xml:space="preserve">Представленные ресурсы служат примерами профориентационных платформ и не являются рекламой</w:t>
      </w:r>
      <w:r>
        <w:rPr>
          <w:rFonts w:ascii="Times New Roman" w:hAnsi="Times New Roman" w:cs="Times New Roman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  <w:jc w:val="center"/>
    </w:pPr>
    <w:r>
      <w:rPr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755775" cy="408305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55775" cy="40830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38.25pt;height:32.15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8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8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8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8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8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8" w:hanging="360"/>
      </w:pPr>
      <w:rPr>
        <w:rFonts w:ascii="Noto Sans Symbols" w:hAnsi="Noto Sans Symbols" w:eastAsia="Noto Sans Symbols" w:cs="Noto Sans Symbol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02"/>
    <w:next w:val="70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2"/>
    <w:next w:val="70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2"/>
    <w:next w:val="70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2"/>
    <w:next w:val="70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2"/>
    <w:next w:val="70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2"/>
    <w:next w:val="70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2"/>
    <w:next w:val="70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2"/>
    <w:next w:val="70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2"/>
    <w:next w:val="70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2"/>
    <w:next w:val="70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3"/>
    <w:link w:val="34"/>
    <w:uiPriority w:val="10"/>
    <w:rPr>
      <w:sz w:val="48"/>
      <w:szCs w:val="48"/>
    </w:rPr>
  </w:style>
  <w:style w:type="paragraph" w:styleId="36">
    <w:name w:val="Subtitle"/>
    <w:basedOn w:val="702"/>
    <w:next w:val="70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3"/>
    <w:link w:val="36"/>
    <w:uiPriority w:val="11"/>
    <w:rPr>
      <w:sz w:val="24"/>
      <w:szCs w:val="24"/>
    </w:rPr>
  </w:style>
  <w:style w:type="paragraph" w:styleId="38">
    <w:name w:val="Quote"/>
    <w:basedOn w:val="702"/>
    <w:next w:val="70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2"/>
    <w:next w:val="70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3"/>
    <w:link w:val="711"/>
    <w:uiPriority w:val="99"/>
  </w:style>
  <w:style w:type="character" w:styleId="45">
    <w:name w:val="Footer Char"/>
    <w:basedOn w:val="703"/>
    <w:link w:val="713"/>
    <w:uiPriority w:val="99"/>
  </w:style>
  <w:style w:type="paragraph" w:styleId="46">
    <w:name w:val="Caption"/>
    <w:basedOn w:val="702"/>
    <w:next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13"/>
    <w:uiPriority w:val="99"/>
  </w:style>
  <w:style w:type="table" w:styleId="49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22"/>
    <w:uiPriority w:val="99"/>
    <w:rPr>
      <w:sz w:val="18"/>
    </w:rPr>
  </w:style>
  <w:style w:type="paragraph" w:styleId="178">
    <w:name w:val="endnote text"/>
    <w:basedOn w:val="70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3"/>
    <w:uiPriority w:val="99"/>
    <w:semiHidden/>
    <w:unhideWhenUsed/>
    <w:rPr>
      <w:vertAlign w:val="superscript"/>
    </w:rPr>
  </w:style>
  <w:style w:type="paragraph" w:styleId="181">
    <w:name w:val="toc 1"/>
    <w:basedOn w:val="702"/>
    <w:next w:val="70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2"/>
    <w:next w:val="70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2"/>
    <w:next w:val="70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2"/>
    <w:next w:val="70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2"/>
    <w:next w:val="70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2"/>
    <w:next w:val="70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2"/>
    <w:next w:val="70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2"/>
    <w:next w:val="70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2"/>
    <w:next w:val="70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2"/>
    <w:next w:val="702"/>
    <w:uiPriority w:val="99"/>
    <w:unhideWhenUsed/>
    <w:pPr>
      <w:spacing w:after="0" w:afterAutospacing="0"/>
    </w:pPr>
  </w:style>
  <w:style w:type="paragraph" w:styleId="702" w:default="1">
    <w:name w:val="Normal"/>
    <w:qFormat/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character" w:styleId="706">
    <w:name w:val="Hyperlink"/>
    <w:basedOn w:val="703"/>
    <w:uiPriority w:val="99"/>
    <w:unhideWhenUsed/>
    <w:rPr>
      <w:color w:val="0563c1" w:themeColor="hyperlink"/>
      <w:u w:val="single"/>
    </w:rPr>
  </w:style>
  <w:style w:type="character" w:styleId="707">
    <w:name w:val="Unresolved Mention"/>
    <w:basedOn w:val="703"/>
    <w:uiPriority w:val="99"/>
    <w:semiHidden/>
    <w:unhideWhenUsed/>
    <w:rPr>
      <w:color w:val="605e5c"/>
      <w:shd w:val="clear" w:color="auto" w:fill="e1dfdd"/>
    </w:rPr>
  </w:style>
  <w:style w:type="table" w:styleId="708">
    <w:name w:val="Table Grid"/>
    <w:basedOn w:val="70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9">
    <w:name w:val="List Paragraph"/>
    <w:basedOn w:val="702"/>
    <w:uiPriority w:val="34"/>
    <w:qFormat/>
    <w:pPr>
      <w:contextualSpacing/>
      <w:ind w:left="720"/>
    </w:pPr>
  </w:style>
  <w:style w:type="character" w:styleId="710">
    <w:name w:val="Strong"/>
    <w:basedOn w:val="703"/>
    <w:uiPriority w:val="22"/>
    <w:qFormat/>
    <w:rPr>
      <w:b/>
      <w:bCs/>
    </w:rPr>
  </w:style>
  <w:style w:type="paragraph" w:styleId="711">
    <w:name w:val="Header"/>
    <w:basedOn w:val="702"/>
    <w:link w:val="7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2" w:customStyle="1">
    <w:name w:val="Верхний колонтитул Знак"/>
    <w:basedOn w:val="703"/>
    <w:link w:val="711"/>
    <w:uiPriority w:val="99"/>
  </w:style>
  <w:style w:type="paragraph" w:styleId="713">
    <w:name w:val="Footer"/>
    <w:basedOn w:val="702"/>
    <w:link w:val="7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14" w:customStyle="1">
    <w:name w:val="Нижний колонтитул Знак"/>
    <w:basedOn w:val="703"/>
    <w:link w:val="713"/>
    <w:uiPriority w:val="99"/>
  </w:style>
  <w:style w:type="character" w:styleId="715">
    <w:name w:val="FollowedHyperlink"/>
    <w:basedOn w:val="703"/>
    <w:uiPriority w:val="99"/>
    <w:semiHidden/>
    <w:unhideWhenUsed/>
    <w:rPr>
      <w:color w:val="954f72" w:themeColor="followedHyperlink"/>
      <w:u w:val="single"/>
    </w:rPr>
  </w:style>
  <w:style w:type="character" w:styleId="716">
    <w:name w:val="annotation reference"/>
    <w:basedOn w:val="703"/>
    <w:uiPriority w:val="99"/>
    <w:semiHidden/>
    <w:unhideWhenUsed/>
    <w:rPr>
      <w:sz w:val="16"/>
      <w:szCs w:val="16"/>
    </w:rPr>
  </w:style>
  <w:style w:type="paragraph" w:styleId="717">
    <w:name w:val="annotation text"/>
    <w:basedOn w:val="702"/>
    <w:link w:val="71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18" w:customStyle="1">
    <w:name w:val="Текст примечания Знак"/>
    <w:basedOn w:val="703"/>
    <w:link w:val="717"/>
    <w:uiPriority w:val="99"/>
    <w:semiHidden/>
    <w:rPr>
      <w:sz w:val="20"/>
      <w:szCs w:val="20"/>
    </w:rPr>
  </w:style>
  <w:style w:type="paragraph" w:styleId="719">
    <w:name w:val="annotation subject"/>
    <w:basedOn w:val="717"/>
    <w:next w:val="717"/>
    <w:link w:val="720"/>
    <w:uiPriority w:val="99"/>
    <w:semiHidden/>
    <w:unhideWhenUsed/>
    <w:rPr>
      <w:b/>
      <w:bCs/>
    </w:rPr>
  </w:style>
  <w:style w:type="character" w:styleId="720" w:customStyle="1">
    <w:name w:val="Тема примечания Знак"/>
    <w:basedOn w:val="718"/>
    <w:link w:val="719"/>
    <w:uiPriority w:val="99"/>
    <w:semiHidden/>
    <w:rPr>
      <w:b/>
      <w:bCs/>
      <w:sz w:val="20"/>
      <w:szCs w:val="20"/>
    </w:rPr>
  </w:style>
  <w:style w:type="paragraph" w:styleId="721" w:customStyle="1">
    <w:name w:val="ds-markdown-paragraph"/>
    <w:basedOn w:val="70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2">
    <w:name w:val="footnote text"/>
    <w:basedOn w:val="702"/>
    <w:link w:val="72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23" w:customStyle="1">
    <w:name w:val="Текст сноски Знак"/>
    <w:basedOn w:val="703"/>
    <w:link w:val="722"/>
    <w:uiPriority w:val="99"/>
    <w:semiHidden/>
    <w:rPr>
      <w:sz w:val="20"/>
      <w:szCs w:val="20"/>
    </w:rPr>
  </w:style>
  <w:style w:type="character" w:styleId="724">
    <w:name w:val="footnote reference"/>
    <w:basedOn w:val="703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B11EF3-D6DB-054D-A843-5496ACB3B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Центр-ФП</dc:creator>
  <cp:keywords/>
  <dc:description/>
  <cp:lastModifiedBy>Юлия Лазутина</cp:lastModifiedBy>
  <cp:revision>13</cp:revision>
  <dcterms:created xsi:type="dcterms:W3CDTF">2026-02-16T10:44:00Z</dcterms:created>
  <dcterms:modified xsi:type="dcterms:W3CDTF">2026-05-07T14:53:43Z</dcterms:modified>
</cp:coreProperties>
</file>