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yd="http://volga.yandex.com/schemas/document/model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pic="http://schemas.openxmlformats.org/drawingml/2006/picture" w:conformance="transitional" mc:Ignorable="vyd">
  <w:background/>
  <w:body vyd:_id="vyd:00000000000001">
    <w:p vyd:_id="vyd:000000000000fs">
      <w:pPr>
        <w:spacing w:after="200"/>
        <w:ind w:end="7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0" w:name="_heading=h.yv7u0k5ysntp" vyd:_id="vyd:000000000000ft"/>
      <w:bookmarkEnd w:id="0"/>
    </w:p>
    <w:p vyd:_id="vyd:000000000000fr">
      <w:pPr>
        <w:spacing w:after="200"/>
        <w:ind w:end="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fq">
      <w:pPr>
        <w:spacing w:after="200"/>
        <w:ind w:end="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fp">
      <w:pPr>
        <w:spacing w:after="200"/>
        <w:ind w:end="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fo">
      <w:pPr>
        <w:spacing w:after="200"/>
        <w:ind w:end="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fn">
      <w:pPr>
        <w:spacing w:after="200"/>
        <w:ind w:end="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fm">
      <w:pPr>
        <w:spacing w:after="200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fl">
      <w:pPr>
        <w:spacing w:after="200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fj">
      <w:pPr>
        <w:spacing w:after="20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fk">Сценарий мастер-лекции</w:t>
      </w:r>
    </w:p>
    <w:p vyd:_id="vyd:000000000000fh">
      <w:pPr>
        <w:spacing w:after="200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fi">«Цифровизация избирательного процесса: сочетание новаций и традиций»</w:t>
      </w:r>
    </w:p>
    <w:p vyd:_id="vyd:000000000000fg">
      <w:pPr>
        <w:spacing w:after="200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ff">
      <w:pPr>
        <w:spacing w:after="200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fe">
      <w:pPr>
        <w:spacing w:after="200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fd">
      <w:pPr>
        <w:spacing w:after="200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fb">
      <w:pPr>
        <w:spacing w:line="360" w:lineRule="auto"/>
        <w:jc w:val="end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fc">Автор:</w:t>
      </w:r>
    </w:p>
    <w:p vyd:_id="vyd:000000000000f9">
      <w:pPr>
        <w:spacing w:line="360" w:lineRule="auto"/>
        <w:jc w:val="end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fa">Виноградова Ирина Маратовна,</w:t>
      </w:r>
    </w:p>
    <w:p vyd:_id="vyd:000000000000f7">
      <w:pPr>
        <w:spacing w:line="360" w:lineRule="auto"/>
        <w:jc w:val="end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f8" xml:space="preserve">член Избирательной комиссии Свердловской области, </w:t>
      </w:r>
    </w:p>
    <w:p vyd:_id="vyd:000000000000f4">
      <w:pPr>
        <w:spacing w:line="360" w:lineRule="auto"/>
        <w:jc w:val="end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f6">м.н.с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f5" xml:space="preserve">. Института философии и права </w:t>
      </w:r>
    </w:p>
    <w:p vyd:_id="vyd:000000000000f2">
      <w:pPr>
        <w:spacing w:line="360" w:lineRule="auto"/>
        <w:jc w:val="end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f3">Уральского отделения Российской академии наук,</w:t>
      </w:r>
    </w:p>
    <w:p vyd:_id="vyd:000000000000f0">
      <w:pPr>
        <w:spacing w:line="360" w:lineRule="auto"/>
        <w:jc w:val="end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f1" xml:space="preserve">заместитель председателя Совета молодых политологов </w:t>
      </w:r>
    </w:p>
    <w:p vyd:_id="vyd:000000000000ey">
      <w:pPr>
        <w:spacing w:line="360" w:lineRule="auto"/>
        <w:jc w:val="end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ez">Российской ассоциации политической науки</w:t>
      </w:r>
    </w:p>
    <w:p vyd:_id="vyd:000000000000ex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vyd:_id="vyd:000000000000ew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vyd:_id="vyd:000000000000ev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vyd:_id="vyd:000000000000eu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vyd:_id="vyd:000000000000et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vyd:_id="vyd:000000000000eq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es">Москва, 2026 г.</w:t>
      </w:r>
      <w:r>
        <w:br w:type="page" vyd:_id="vyd:000000000000er"/>
      </w:r>
    </w:p>
    <w:p vyd:_id="vyd:000000000000em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ep" xml:space="preserve">Цель: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eo" xml:space="preserve">сформировать системное понимание процессов цифровизации избирательной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en">системы России как инструмента повышения доступности и прозрачности выборов при сохранении принципов избирательного права, а также сформировать осознание роли госслужащего в обеспечении легитимности электоральных процедур в условиях цифровой трансформации.</w:t>
      </w:r>
    </w:p>
    <w:p vyd:_id="vyd:000000000000ek">
      <w:pPr>
        <w:spacing w:line="360" w:lineRule="auto"/>
        <w:ind w:firstLine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el">Задачи:</w:t>
      </w:r>
    </w:p>
    <w:p vyd:_id="vyd:000000000000ei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start="0"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ej">Раскрыть этапы внедрения цифровых технологий в электоральные процедуры.</w:t>
      </w:r>
    </w:p>
    <w:p vyd:_id="vyd:000000000000eg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start="0"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eh">Познакомить слушателей с ключевыми элементами современной цифровой инфраструктуры выборов.</w:t>
      </w:r>
    </w:p>
    <w:p vyd:_id="vyd:000000000000ee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start="0"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ef">Разъяснить нормативно-правовую базу цифровизации выборов, включая последние изменения.</w:t>
      </w:r>
    </w:p>
    <w:p vyd:_id="vyd:000000000000ea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start="0"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ed" xml:space="preserve">Представить объективную картину преимуществ и </w:t>
      </w:r>
      <w:r>
        <w:rPr>
          <w:rFonts w:ascii="Times New Roman" w:hAnsi="Times New Roman" w:eastAsia="Times New Roman" w:cs="Times New Roman"/>
          <w:sz w:val="28"/>
          <w:color w:val="000000"/>
          <w:lang w:val="ru-RU"/>
          <w:szCs w:val="28"/>
        </w:rPr>
        <w:t vyd:_id="vyd:000000000000ec">вызовов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eb" xml:space="preserve"> ДЭГ на основе исследований и практического опыта.</w:t>
      </w:r>
    </w:p>
    <w:p vyd:_id="vyd:000000000000e8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start="0"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e9">Акцентировать внимание и подчеркнуть роль Запада в информационных провокациях и атаках на выборную систему.</w:t>
      </w:r>
    </w:p>
    <w:p vyd:_id="vyd:000000000000e6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start="0"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e7">Сформировать убеждение в том, что сочетание новаций и традиций — это оптимальный путь развития избирательной системы.</w:t>
      </w:r>
    </w:p>
    <w:p vyd:_id="vyd:000000000000e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e5" xml:space="preserve">Формируемые ценности: </w:t>
      </w:r>
    </w:p>
    <w:p vyd:_id="vyd:000000000000e1">
      <w:pPr>
        <w:pStyle w:val="1129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e3">созидательный труд</w:t>
      </w:r>
      <w:r>
        <w:rPr>
          <w:rFonts w:ascii="Times New Roman" w:hAnsi="Times New Roman" w:eastAsia="Times New Roman" w:cs="Times New Roman"/>
          <w:sz w:val="28"/>
          <w:color w:val="000000"/>
          <w:lang w:val="ru-RU"/>
          <w:szCs w:val="28"/>
        </w:rPr>
        <w:t vyd:_id="vyd:000000000000e2" xml:space="preserve">; </w:t>
      </w:r>
    </w:p>
    <w:p vyd:_id="vyd:000000000000dy">
      <w:pPr>
        <w:pStyle w:val="1129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lang w:val="ru-RU"/>
          <w:szCs w:val="28"/>
        </w:rPr>
        <w:t vyd:_id="vyd:000000000000e0">права и свободы человека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dz">.</w:t>
      </w:r>
    </w:p>
    <w:p vyd:_id="vyd:000000000000dv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dx" xml:space="preserve">Смысловое направление: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dw">правовая грамотность.</w:t>
      </w:r>
    </w:p>
    <w:p vyd:_id="vyd:000000000000ds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du" xml:space="preserve">Продолжительность: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dt">45 минут.</w:t>
      </w:r>
    </w:p>
    <w:p vyd:_id="vyd:000000000000dp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dr" xml:space="preserve">Целевая аудитория: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dq">госслужащие.</w:t>
      </w:r>
    </w:p>
    <w:p vyd:_id="vyd:000000000000dm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do">Тип методического материала: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dn" xml:space="preserve"> лекция.</w:t>
      </w:r>
    </w:p>
    <w:p vyd:_id="vyd:000000000000di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dl" xml:space="preserve">Комплект материалов: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dk">сценарий, презентация.</w:t>
      </w:r>
      <w:r>
        <w:br w:type="page" vyd:_id="vyd:000000000000dj"/>
      </w:r>
    </w:p>
    <w:p vyd:_id="vyd:000000000000dg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dh">Слайд 1. Инструкция</w:t>
      </w:r>
    </w:p>
    <w:p vyd:_id="vyd:000000000000df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dd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de">Слайд 2. Титульный</w:t>
      </w:r>
    </w:p>
    <w:p vyd:_id="vyd:000000000000db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dc" xml:space="preserve">Добрый день, коллеги! </w:t>
      </w:r>
    </w:p>
    <w:p vyd:_id="vyd:000000000000da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</w:p>
    <w:p vyd:_id="vyd:000000000000d8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d9">Слайд 3. Регистрация</w:t>
      </w:r>
    </w:p>
    <w:p vyd:_id="vyd:000000000000d5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d7" xml:space="preserve">Прежде чем мы продолжим, предлагаю вам пройти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d6">быструю регистрацию. Для этого отсканируйте QR-код, который вы видите на экране, и ответьте на несколько вопросов. Это займет не больше минуты, но позволит вам полноценно участвовать в дальнейшем обсуждении темы. Спасибо за вашу активность и вовлеченность!</w:t>
      </w:r>
    </w:p>
    <w:p vyd:_id="vyd:000000000000d4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</w:p>
    <w:p vyd:_id="vyd:000000000000d2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d3">Слайд 4. Опрос</w:t>
      </w:r>
    </w:p>
    <w:p vyd:_id="vyd:000000000000d1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i w:val="1"/>
          <w:iCs w:val="1"/>
          <w:szCs w:val="28"/>
        </w:rPr>
      </w:pPr>
    </w:p>
    <w:p vyd:_id="vyd:000000000000cz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d0">Слайд 5. Короткий экскурс в историю</w:t>
      </w:r>
    </w:p>
    <w:p vyd:_id="vyd:000000000000cw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y">После распада СССР Ро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cx">ссия встала перед задачей построения принципиально новой политической системы, где выборы стали не формальностью, а ключевым механизмом легитимации власти. Именно 1990-е годы стали периодом институционального поиска формы для будущей избирательной системы.</w:t>
      </w:r>
    </w:p>
    <w:p vyd:_id="vyd:000000000000cu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color w:val="000000"/>
          <w:b w:val="1"/>
          <w:bCs w:val="1"/>
        </w:rPr>
        <w:drawing vyd:_id="vyd:000000000000cv">
          <wp:inline distT="0" distB="0" distL="0" distR="0">
            <wp:extent cx="1080000" cy="338555"/>
            <wp:effectExtent l="0" t="0" r="0" b="0"/>
            <wp:docPr id="3" name="image3.png"/>
            <wp:cNvGraphicFramePr/>
            <a:graphic>
              <a:graphicData uri="http://schemas.openxmlformats.org/drawingml/2006/picture">
                <pic:pic>
                  <pic:nvPicPr>
                    <pic:cNvPr id="0" name="image3.png"/>
                    <pic:nvPr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338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vyd:_id="vyd:000000000000cp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t">Как вы думаете, в каком году в Росси</w:t>
      </w:r>
      <w:r>
        <w:rPr>
          <w:rFonts w:ascii="Times New Roman" w:hAnsi="Times New Roman" w:eastAsia="Times New Roman" w:cs="Times New Roman"/>
          <w:sz w:val="28"/>
          <w:lang w:val="ru-RU"/>
          <w:szCs w:val="28"/>
        </w:rPr>
        <w:t vyd:_id="vyd:000000000000cs">йской</w:t>
      </w:r>
      <w:r>
        <w:rPr>
          <w:rFonts w:ascii="Times New Roman" w:hAnsi="Times New Roman" w:eastAsia="Times New Roman" w:cs="Times New Roman"/>
          <w:sz w:val="28"/>
          <w:lang w:val="ru-RU"/>
          <w:szCs w:val="28"/>
        </w:rPr>
        <w:t vyd:_id="vyd:000000000000cr" xml:space="preserve">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cq" xml:space="preserve"> прошли первые общенациональные конкурентные выборы?</w:t>
      </w:r>
    </w:p>
    <w:p vyd:_id="vyd:000000000000cn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o">А. 1990 год</w:t>
      </w:r>
    </w:p>
    <w:p vyd:_id="vyd:000000000000cl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m">Б. 1991 год</w:t>
      </w:r>
    </w:p>
    <w:p vyd:_id="vyd:000000000000cj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k">В. 1993 год</w:t>
      </w:r>
    </w:p>
    <w:p vyd:_id="vyd:000000000000ch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i">Г. 1996 год</w:t>
      </w:r>
    </w:p>
    <w:p vyd:_id="vyd:000000000000cg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ce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cf">Слайд 6. Ответ на вопрос</w:t>
      </w:r>
    </w:p>
    <w:p vyd:_id="vyd:000000000000c9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lang w:val="ru-RU"/>
          <w:szCs w:val="28"/>
        </w:rPr>
        <w:t vyd:_id="vyd:000000000000cd">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cc">твет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cb" xml:space="preserve"> — В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ca" xml:space="preserve">. В 1993 году прошли выборы I созыва Государственной Думы Федерального Собрания Российской Федерации. В 1990 и 1991 годах выборы касались только РСФСР — Съезда народных депутатов и Президента. В 1996 году состоялись выборы Президента Российской Федерации. </w:t>
      </w:r>
    </w:p>
    <w:p vyd:_id="vyd:000000000000c8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vyd:_id="vyd:000000000000c6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c7">Слайд 7. Конструирование избирательной системы</w:t>
      </w:r>
    </w:p>
    <w:p vyd:_id="vyd:000000000000c3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5">Начало 1990-х годов — период высокой политической ту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c4">рбулентности. Выборы проводились в условиях отсутствия устойчивых партий, нестабильной нормативной базы и слабой организационной инфраструктуры. Тем не менее именно в этот период были заложены базовые элементы новой демократической политической реальности.</w:t>
      </w:r>
    </w:p>
    <w:p vyd:_id="vyd:000000000000c1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2">Принятие Конституции Российской Федерации в 1993 году утвердило выборы как высшую форму непосредственного народовластия и закрепило избирательные права граждан.</w:t>
      </w:r>
    </w:p>
    <w:p vyd:_id="vyd:000000000000by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0">2000-е годы —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z" xml:space="preserve"> этап конструирования избирательной системы: укрепляется вертикаль избирательных комиссий, формируется устойчивое федеральное законодательство. Именно эта нормативная стабильность позже позволила внедрять сложные цифровые решения без риска системных сбоев.</w:t>
      </w:r>
    </w:p>
    <w:p vyd:_id="vyd:000000000000bw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bx">До начала активной цифровизации российские выборы развивались как классическая «бумажная» модель. Цифровизация возникает не «по указанию сверху», а как ответ на социальные и технологические изменения в обществе.</w:t>
      </w:r>
    </w:p>
    <w:p vyd:_id="vyd:000000000000bv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bt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bu">Слайд 8. Этапы цифровизации избирательного процесса</w:t>
      </w:r>
    </w:p>
    <w:p vyd:_id="vyd:000000000000bn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bs" xml:space="preserve">Цифровизация избирательного процесса прошла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br">8 этапов.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q" xml:space="preserve"> На ранних этапах технологии работали для системы, а не для избирателя. Это важное различие: сначала создается надежный цифровой контур управления, и только потом — сервисы для граждан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bp" w:id="2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o">.</w:t>
      </w:r>
    </w:p>
    <w:p vyd:_id="vyd:000000000000bh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bm" xml:space="preserve">Первый этап — появление государственной автоматизированной системы ГАС «Выборы», первой масштабной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l" xml:space="preserve">цифровой инфраструктуры избирательного процесса. Это система, предназначенная для автоматизации избирательных действий, была внедрена в деятельность избирательных комиссий в 1996 году в тестовом формате, а в 2003 году уже применялась полномасштабно и была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k">регламентирована Федеральным законом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bj" w:id="3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i">. Система состоит из региональных сегментов, является автономной системой, то есть не подключается к интернету. Основная задача ГАС «Выборы» — автоматизация всех избирательных действий от формирования списка избирателей до обработки итоговых протоколов.</w:t>
      </w:r>
    </w:p>
    <w:p vyd:_id="vyd:000000000000bg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be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bf">Слайд 9. Второй этап</w:t>
      </w:r>
    </w:p>
    <w:p vyd:_id="vyd:000000000000b8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bd">Второй этап — внедрение КОИБ (комплексы обработки избирательных бюллетеней). Предшественником КОИБ считается СИБ — сканер избирательных бюллетеней, созданный в 1996 году и усовершенствованный в 2000 году. Первые же КОИБ был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c">и созданы и внедрены в 2003 году, далее были модернизированы в 2010 и 2017 годах. Основная задача КОИБ — оперативный подсчет бумажных бюллетеней путем их непосредственного сканирования и подведение результатов голосования на избирательном участке. Для обес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b">печения безопасности от вмешательства КОИБ также не подключен к локальным и глобальным сетям, а во время его использования применяется ряд резервных средств защиты. Это пример гибридной модели: традиционная форма голосования и цифровая обработка результата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ba" w:id="4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9">.</w:t>
      </w:r>
    </w:p>
    <w:p vyd:_id="vyd:000000000000b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b5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b6">Слайд 10. Третий этап</w:t>
      </w:r>
    </w:p>
    <w:p vyd:_id="vyd:000000000000az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b4">Третий этап — внедрение КЭГ (комплекс электронного голосования). Это комплекс средств автоматиза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3" xml:space="preserve">ции ГАС «Выборы», предназначенный для проведения электронного голосования и автоматизированного подсчета голосов с использованием сенсорного экрана. Комплекс изготовлен в 2005 году, а апробирование пришлось на 2006 год. Механика голосования с КЭГ является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2">полуавтоматизированной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b1" w:id="5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0" xml:space="preserve">. </w:t>
      </w:r>
    </w:p>
    <w:p vyd:_id="vyd:000000000000ay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aw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x">Слайд 11. Четвертый этап</w:t>
      </w:r>
    </w:p>
    <w:p vyd:_id="vyd:000000000000as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v">Четвертый этап — установление повсеместного видеонаблюдения. Начиная с 2012 года началась системная кампания по обеспечению широкомасштабного оборудования видеокамерами с возможностью прямой трансляции в режиме реального времени по всей стране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au" w:id="6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t">. Таким образом, цифровизация затронула не только подсчет голосов, но и общественный контроль.</w:t>
      </w:r>
    </w:p>
    <w:p vyd:_id="vyd:000000000000ar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ap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q">Слайд 12. Пятый этап</w:t>
      </w:r>
    </w:p>
    <w:p vyd:_id="vyd:000000000000ak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o">Пятый этап — использование QR-кодирования протоколов. Эта технология, базирующаяся на создании и применении QR-кода (двухмерный машиночитаемый квадратный штрих-код), который позволяет осущес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n">твлять кодирование и быстрое считывание информации, была внедрена в 2017 году. Основной задачей QR-кода является шифрование данных итогового протокола УИК с помощью применения специального программного обеспечения путем ручного переноса данных из протокола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am" w:id="7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l" xml:space="preserve">. </w:t>
      </w:r>
    </w:p>
    <w:p vyd:_id="vyd:000000000000aj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ag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i">Слайд 13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h">. Шестой этап</w:t>
      </w:r>
    </w:p>
    <w:p vyd:_id="vyd:000000000000a3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f">Шестой этап — технология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e" xml:space="preserve"> «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d">Мобильный избиратель» и Цифровые участки. Этот сервис решает структурную проблему территориальной привязки избирателя, например, работа или учеба в другом городе,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c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b">командировки,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a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9">переезды.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8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7">Алгоритм прост: авторизация через Госуслуги, выбор удобного у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6">частка, автоматическое удаление из исходного списка избирателей. Проверка на двойное включение идет в реальном времени: банк данных ГАС «Выборы» блокирует повтор. В 2024 году на выборах Президента «Мобильным избирателем» воспользовались более 3 млн россиян</w:t>
      </w:r>
      <w:r>
        <w:rPr>
          <w:rStyle w:val="1132"/>
          <w:rFonts w:ascii="Times New Roman" w:hAnsi="Times New Roman" w:eastAsia="Times New Roman" w:cs="Times New Roman"/>
          <w:sz w:val="28"/>
          <w:szCs w:val="28"/>
        </w:rPr>
        <w:footnoteReference vyd:_id="vyd:000000000000a5" w:id="8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4" xml:space="preserve">. </w:t>
      </w:r>
    </w:p>
    <w:p vyd:_id="vyd:0000000000009z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2">А в 2019 году на выборах депутатов Московской городской думы были проведены эксперименты по применению Цифровых избирательных участков (30 ЦИУ)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a1" w:id="9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0" xml:space="preserve">. </w:t>
      </w:r>
    </w:p>
    <w:p vyd:_id="vyd:0000000000009y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9w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x">Слайд 14. Седьмой этап</w:t>
      </w:r>
    </w:p>
    <w:p vyd:_id="vyd:0000000000009p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v">Седьмой этап — переход к дистанционному электронному голосованию. ДЭГ — это голосование через защищенную цифровую платформу без физ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u" xml:space="preserve">ического присутствия на избирательном участке. Принципиальное отличие ДЭГ от предшествующих цифровых решений заключается в том, что цифровой становится не только обработка результатов, но и сам акт голосования. В 2019 году был проведен эксперимент ДЭГ в 3 </w:t>
      </w:r>
      <w:r>
        <w:rPr>
          <w:rFonts w:ascii="Times New Roman" w:hAnsi="Times New Roman" w:eastAsia="Times New Roman" w:cs="Times New Roman"/>
          <w:sz w:val="28"/>
          <w:lang w:val="ru-RU"/>
          <w:szCs w:val="28"/>
        </w:rPr>
        <w:t vyd:_id="vyd:0000000000009t">столичных избирательных округах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s">, а уже в 2025 ДЭГ был использован на выборах в 24 регионах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9r" w:id="10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q" xml:space="preserve">. </w:t>
      </w:r>
    </w:p>
    <w:p vyd:_id="vyd:0000000000009o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9m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n">Слайд 15. Восьмой этап</w:t>
      </w:r>
    </w:p>
    <w:p vyd:_id="vyd:0000000000009c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l">Последний, текущий восьмой этап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k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j">—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i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h">создание новой версии ГАС «Выборы 2.0». Работа по его разработке велась пять лет в рамках Национальной программы «Цифровая экономика Российской Федерации»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g"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f">При разработке и создании ГАС «Выборы» 2.0 были соблюдены принципы технологической независимости и импортозамещения, учтены актуальные требования к безопасности информации, сделан очередной большой шаг в цифровизацию избирательных процессов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9e" w:id="11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d">.</w:t>
      </w:r>
    </w:p>
    <w:p vyd:_id="vyd:0000000000009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b">Таким образом, цифровизация избирательного процесса — это не просто технологическое об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a" xml:space="preserve">новление, а инструмент укрепления доверия граждан к институтам власти. Она позволяет сделать голосование более доступным, прозрачным и удобным, снижая административную нагрузку на организаторов выборов и минимизируя риски человеческого фактора. В условиях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9">информационных атак и попыток вмешательства в электоральные процессы цифровые решения обеспечивают дополнительный уровень защиты,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8" xml:space="preserve"> подтверждая легитимность волеизъявления. В конечном счете, внедрение современных технологий — это ответ государства на запрос общества в честности, открытости и эффективности выборов, что напрямую работает на укрепление суверенитета и стабильности страны.</w:t>
      </w:r>
    </w:p>
    <w:p vyd:_id="vyd:00000000000096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94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5">Слайд 16. Интерактив</w:t>
      </w:r>
    </w:p>
    <w:p vyd:_id="vyd:00000000000091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3" xml:space="preserve"> </w:t>
      </w:r>
      <w:r>
        <w:rPr>
          <w:color w:val="000000"/>
          <w:b w:val="1"/>
          <w:bCs w:val="1"/>
        </w:rPr>
        <w:drawing vyd:_id="vyd:00000000000092">
          <wp:inline distT="0" distB="0" distL="0" distR="0">
            <wp:extent cx="1202055" cy="307975"/>
            <wp:effectExtent l="0" t="0" r="0" b="0"/>
            <wp:docPr id="4" name="image1.png"/>
            <wp:cNvGraphicFramePr/>
            <a:graphic>
              <a:graphicData uri="http://schemas.openxmlformats.org/drawingml/2006/picture">
                <pic:pic>
                  <pic:nvPicPr>
                    <pic:cNvPr id="0" name="image1.png"/>
                    <pic:nvPr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307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vyd:_id="vyd:0000000000008z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0">Попробуйте расположить представленные цифровые решения в хронологическом порядке.</w:t>
      </w:r>
    </w:p>
    <w:p vyd:_id="vyd:0000000000008x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y">А. ДЭГ</w:t>
      </w:r>
    </w:p>
    <w:p vyd:_id="vyd:0000000000008v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w">Б. QR</w:t>
      </w:r>
    </w:p>
    <w:p vyd:_id="vyd:0000000000008t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u">В. КОИБ</w:t>
      </w:r>
    </w:p>
    <w:p vyd:_id="vyd:0000000000008r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s">Г. КЭГ</w:t>
      </w:r>
    </w:p>
    <w:p vyd:_id="vyd:0000000000008q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vyd:_id="vyd:0000000000008o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p">Слайд 17. Ответ</w:t>
      </w:r>
    </w:p>
    <w:p vyd:_id="vyd:0000000000008m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n">КОИБ — КЭГ — QR — ДЭГ (В — Г — Б — А)</w:t>
      </w:r>
    </w:p>
    <w:p vyd:_id="vyd:0000000000008l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8j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k">Слайд 18. Цифровые механизмы на этапе регистрации кандидатов</w:t>
      </w:r>
    </w:p>
    <w:p vyd:_id="vyd:0000000000008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i" xml:space="preserve">Кроме этого, на каждом этапе присутствуют современные механизмы, делающие избирательный процесс доступным и прозрачным. Например, при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h">этапе выдвижения партии и кандидаты могут использовать специальные программы для подготовки документов (СПИ) для минимизации ошибки, сбор подписей для регистрации возможен через «Госуслуги», а для информирования граждан используется электронная платформа «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g">ИнформУИК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f" xml:space="preserve">». </w:t>
      </w:r>
    </w:p>
    <w:p vyd:_id="vyd:0000000000008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d" xml:space="preserve">Таким образом, мы видим, что за последние 20 лет организаторы выборов сделали значительный шаг к повышению уровня цифровизации избирательного процесса. Каждый новый технологический этап надстраивается на предыдущий.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c">Эволюция цифровых технологий в избирательном процессе России носит поэтапный характер: от внутренних информационных систем к цифровым сервисам для граждан и далее к трансформации самой формы голосования.</w:t>
      </w:r>
    </w:p>
    <w:p vyd:_id="vyd:0000000000008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8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9">Слайд 19. Нормативно-правовая база цифровизации выборов</w:t>
      </w:r>
    </w:p>
    <w:p vyd:_id="vyd:0000000000008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7">Любая технология в избирательном процессе легитимна только тогда, когда она опирается на право. Цифровизация — это не техническое усовершенствование, а трансформация процедур, которая должна быть нормативно оформлена.</w:t>
      </w:r>
    </w:p>
    <w:p vyd:_id="vyd:0000000000008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5">Конституция Российской Федерации закрепляет базовые начала: свободные выборы, право граждан избирать и быть избранными, равенство и добровольность участия.</w:t>
      </w:r>
    </w:p>
    <w:p vyd:_id="vyd:0000000000008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3">Цифровые технологии не меняют эти принципы, а требуют их технологической интерпретации:</w:t>
      </w:r>
    </w:p>
    <w:p vyd:_id="vyd:00000000000080">
      <w:pPr>
        <w:numPr>
          <w:ilvl w:val="0"/>
          <w:numId w:val="3"/>
        </w:numP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1">тайна голосования =&gt; криптографическая защита;</w:t>
      </w:r>
    </w:p>
    <w:p vyd:_id="vyd:0000000000007y">
      <w:pPr>
        <w:numPr>
          <w:ilvl w:val="0"/>
          <w:numId w:val="3"/>
        </w:numP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7z">равенство =&gt; равный доступ к цифровым каналам;</w:t>
      </w:r>
    </w:p>
    <w:p vyd:_id="vyd:0000000000007w">
      <w:pPr>
        <w:numPr>
          <w:ilvl w:val="0"/>
          <w:numId w:val="3"/>
        </w:numP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7x" xml:space="preserve">свобода волеизъявления =&gt; добровольность выбора формата участия. </w:t>
      </w:r>
    </w:p>
    <w:p vyd:_id="vyd:0000000000007v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7t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7u">Слайд 20. Нормативно-правовая база цифровизации выборов</w:t>
      </w:r>
    </w:p>
    <w:p vyd:_id="vyd:0000000000007q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7s">Базовый федеральный каркас избирательного процесса представлен Федеральным законом от 12 июня 2002 г. № 67-ФЗ «Об основных гарантиях избирательных прав и права на участие в референдуме граждан Российской Федерации». Это рамочный документ, который з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r">адает универсальные стандарты для всех уровней выборов. Именно в его логику поэтапно были вшиты цифровые новации: расширение допустимых форм голосования, закрепление электронных процедур учета и контроля, правовое оформление новых сервисов для избирателей.</w:t>
      </w:r>
    </w:p>
    <w:p vyd:_id="vyd:0000000000007m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7p" xml:space="preserve">Например, Федеральным законом от 23 мая 2025 г. № 115-ФЗ в него были внесены изменения, а именно уточнено, что электронное голосование — это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o">голосование на избирательном участке без использования бумажного бюллетеня с помощью комплекса для электронного голосования, а специальное программное обеспечение, используе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n">мое при проведении ДЭГ, должно быть размещено на специальном портале в сети Интернет, доступ к которому предоставляется на техническом устройстве избирателя. Введена возможность открыть специальный избирательный счет без личного присутствия — дистанционно.</w:t>
      </w:r>
    </w:p>
    <w:p vyd:_id="vyd:0000000000007h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7l">Изменения носят адаптационный, а не революционный характер, избирательное законодател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k" xml:space="preserve">ьство эволюционировало по принципу мягкой адаптации: сначала экспериментальные правовые режимы, затем расширение правового поля и институционализация цифровых форм. Например, эксперимент по ДЭГ был закреплен отдельным Федеральным законом от 23 мая 2020 г.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7j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i" xml:space="preserve">№ 152-ФЗ «О проведении эксперимента по организации и осуществлению дистанционного электронного голосования в городе федерального значения Москве». </w:t>
      </w:r>
    </w:p>
    <w:p vyd:_id="vyd:0000000000007d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7g">Помимо федеральных законов важную роль играют постановления и инструкции ЦИК, их регламенты проведения электронного и дистанционного голосования, м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f">етодические рекомендации для комиссий. Именно на этом уровне формализуются технические аспекты. Примерами таких НПА являются: Постановление ЦИК России от 4 июня 2020 г. № 251/1850-7 «О Порядке дистанционного электронного голосования при проведении общеросс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e">ийского голосования по вопросу одобрения изменений в Конституцию Российской Федерации», Постановление Центральной избирательной комиссии Российской Федерации от 8 июня 2022 г. № 86/715-8 «О Требованиях к проведению дистанционного электронного голосования».</w:t>
      </w:r>
    </w:p>
    <w:p vyd:_id="vyd:0000000000007b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7c">Кроме прочего, отдельные аспекты избирательных процедур закреплены в ряде федеральных законов:</w:t>
      </w:r>
    </w:p>
    <w:p vyd:_id="vyd:00000000000077">
      <w:pPr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a" xml:space="preserve">Федеральный закон «О политических партиях» от 11 июля 2001 г.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br vyd:_id="vyd:00000000000079"/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8">№ 95-ФЗ;</w:t>
      </w:r>
    </w:p>
    <w:p vyd:_id="vyd:00000000000075">
      <w:pPr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6" xml:space="preserve">Федеральный закон «О выборах депутатов Государственной Думы Федерального Собрания Российской Федерации» от 22 февраля 2014 г. № 20-ФЗ; </w:t>
      </w:r>
    </w:p>
    <w:p vyd:_id="vyd:00000000000073">
      <w:pPr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4">Федеральный закон «О выборах Президента Российской Федерации» от 10 января 2003 г. № 19-ФЗ.</w:t>
      </w:r>
    </w:p>
    <w:p vyd:_id="vyd:0000000000007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</w:p>
    <w:p vyd:_id="vyd:0000000000006x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71" xml:space="preserve">Слайд 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70">21.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6z" xml:space="preserve"> 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6y">Дистанционное электронное голосование (ДЭГ)</w:t>
      </w:r>
    </w:p>
    <w:p vyd:_id="vyd:0000000000006q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6w">Наиболее прорывным современным избирательным решением является ДЭГ — дистанционное электронное голосование, появившееся в 2019 году и сегодня применившееся в 42 субъектах России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6v" w:id="12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u">. Само электронное голосование внедрено в избирательные практики разного уровня (региональные, местные) более чем в 40 странах, а на общена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t">циональных выборах применяется в Швейцарии, России и Эстонии, также предусмотрено в законодательстве Бельгии, Бразилии, Венесуэлы, Бутана, Филиппин, Кыргызстана, Монголии и Намибии. Однако интернет-голосование еще не является массовым политическим явлением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6s" w:id="13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r">.</w:t>
      </w:r>
    </w:p>
    <w:p vyd:_id="vyd:0000000000006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6p" xml:space="preserve">В интернет-голосовании существует особый тип, применяющий технологии «избирательного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o">блокчейна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n">» — принцип распределенного хранения информации на электронных носителях без возможности ее изменения. Именно эта технология применяется российским ДЭГ с 2019 года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6m" w:id="14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l" xml:space="preserve">. Технология интернет-голосования с применением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k">блокчейн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j" xml:space="preserve">-технологий применялась на выборах в рамках проекта швейцарской стартап-компании «Агора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i">Вотинг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h" xml:space="preserve">» на праймериз в Испании и в 2018 году на президентских выборах в Сьерра Леона, на других платформах апробировано на местных выборах в Швейцарии, в 2018 году на голосовании в Западной Вирджинии, штате США, на платформе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g">Воатс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f">, с 2019 года работает в Эстонии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6e" w:id="15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d" xml:space="preserve">. Россия — одна из немногих стран мира, где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c">блокчейн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b" xml:space="preserve">-голосование применяется системно на всех уровнях выборов, в том числе на федеральных. Так, в 2024 г. на выборах Президента ДЭГ воспользовались более </w:t>
      </w:r>
      <w:r>
        <w:rPr>
          <w:rFonts w:ascii="Times New Roman" w:hAnsi="Times New Roman" w:eastAsia="Times New Roman" w:cs="Times New Roman"/>
          <w:sz w:val="28"/>
          <w:color w:val="000000" w:themeColor="text1"/>
          <w:lang w:val="ru-RU"/>
          <w:szCs w:val="28"/>
        </w:rPr>
        <w:t vyd:_id="vyd:0000000000006a">8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9" xml:space="preserve"> млн россиян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68" w:id="16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7">.</w:t>
      </w:r>
    </w:p>
    <w:p vyd:_id="vyd:0000000000006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6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4" xml:space="preserve">Слайд 22. Достоинства и </w:t>
      </w:r>
      <w:r>
        <w:rPr>
          <w:rFonts w:ascii="Times New Roman" w:hAnsi="Times New Roman" w:eastAsia="Times New Roman" w:cs="Times New Roman"/>
          <w:sz w:val="28"/>
          <w:b w:val="1"/>
          <w:lang w:val="ru-RU"/>
          <w:bCs w:val="1"/>
          <w:szCs w:val="28"/>
        </w:rPr>
        <w:t vyd:_id="vyd:00000000000063">вызовы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2" xml:space="preserve"> ДЭГ</w:t>
      </w:r>
    </w:p>
    <w:p vyd:_id="vyd:0000000000005z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color w:val="000000"/>
          <w:b w:val="1"/>
          <w:bCs w:val="1"/>
        </w:rPr>
        <w:drawing vyd:_id="vyd:00000000000060">
          <wp:inline distT="0" distB="0" distL="0" distR="0">
            <wp:extent cx="852805" cy="267335"/>
            <wp:effectExtent l="0" t="0" r="0" b="0"/>
            <wp:docPr id="5" name="image3.png"/>
            <wp:cNvGraphicFramePr/>
            <a:graphic>
              <a:graphicData uri="http://schemas.openxmlformats.org/drawingml/2006/picture">
                <pic:pic>
                  <pic:nvPicPr>
                    <pic:cNvPr id="0" name="image3.png"/>
                    <pic:nvPr/>
                    <pic:cNvPicPr/>
                  </pic:nvPicPr>
                  <pic:blipFill>
                    <a:blip r:embed="rId-0c0f7994-0cdd-40de-94be-b0357536c60a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267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vyd:_id="vyd:0000000000005x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y">Какие, на ваш взгляд, у ДЭГ есть основные преимущества и вызовы?</w:t>
      </w:r>
    </w:p>
    <w:p vyd:_id="vyd:0000000000005v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i w:val="1"/>
          <w:iCs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iCs w:val="1"/>
          <w:szCs w:val="28"/>
        </w:rPr>
        <w:t vyd:_id="vyd:0000000000005w">Ответы участников.</w:t>
      </w:r>
    </w:p>
    <w:p vyd:_id="vyd:0000000000005t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u">Действительно, у ДЭГ много преимуществ. Рассмотрим основные из них, большинство из которых вы назвали. Среди них мы можем выделить:</w:t>
      </w:r>
    </w:p>
    <w:p vyd:_id="vyd:0000000000005q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s">1) доступность, так как эта форма голосования особенно удобна для мобильных гражд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r">ан (командировки, переезды), жителей удаленных территорий, людей с ограниченными возможностями и тех, кто по разным причинам не готов посещать участок. Это снижает «транзакционные издержки» участия: меньше времени, меньше усилий — выше вероятность участия;</w:t>
      </w:r>
    </w:p>
    <w:p vyd:_id="vyd:0000000000005n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p">2) скорость и точность, так как технологические решения снижают риск человеческого факто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o">ра и позволяют ускорять сбор результатов, снижать вероятность арифметических ошибок, упрощать сверку данных между уровнями комиссий. Это не отменяет процедур контроля, но повышает операционную эффективность и снижает нагрузку на комиссии в пиковые периоды;</w:t>
      </w:r>
    </w:p>
    <w:p vyd:_id="vyd:0000000000005l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m">3) формирование общественного контроля над органами власти в силу потенциальной возможности отслеживания действий членов избирательных комиссий на всех этапах избирательного процесса и возможности перепроверки собственного голоса;</w:t>
      </w:r>
    </w:p>
    <w:p vyd:_id="vyd:0000000000005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k">4) защищ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j" xml:space="preserve">енность, так как ДЭГ является криптографической системой защищенного голосования, где все транзакции электронного голоса преобразуются в токен, фиксируется в распределенном реестре, а ключ расшифровки разделен между независимыми хранителями. Иначе говоря,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i" xml:space="preserve">никакой администратор не может вскрыть волеизъявление или незаметно изменить запись. Публичная процедура расшифровки проходит при вскрытии сейф-пакетов ключей наблюдателях и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h">видеостриме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g" xml:space="preserve">; журнал выгружается в открытый доступ, что дает исследователям возможность верифицировать целостность цепочки. </w:t>
      </w:r>
    </w:p>
    <w:p vyd:_id="vyd:0000000000005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e" xml:space="preserve">Одним из основных вызовов, стоящих перед ДЭГ, можно выделить фактор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d">киберугроз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c" xml:space="preserve">, так как переход в онлайн увеличивает уязвимость сервисов к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b">DDoS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a">-атакам, а также попытки компрометации инфраструктуры, фишинга и социальной инженерии в отношении избирателей.</w:t>
      </w:r>
    </w:p>
    <w:p vyd:_id="vyd:0000000000005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8" xml:space="preserve">Однако ответом становится многоуровневая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7">киберзащита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6">, аудит безопасности и регулярное тестирование и обновление контуров защиты.</w:t>
      </w:r>
    </w:p>
    <w:p vyd:_id="vyd:0000000000004s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4">Тут мы можем опереться на опыт проведения ряда кампаний в 2023 году, который был сопряжен со значительным количеством (более 36 тысяч) кибератак на ин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3">фраструктуру ДЭГ и более 175 тысяч «потенциально опасных воздействий» на интернет-портал ЦИК разного уровня организационной сложности, в том числе из-за границы, о чем заявила Председатель ЦИК России Э.А. Памфилова на брифинге после Единого дня голосования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52" w:id="17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1">. Однако система ДЭГ ус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0" xml:space="preserve">тояла перед лицом кибератак, ни в одном из регионов не было зафиксировано критичное «падение» инфраструктуры. Кроме того, ЦИК России неоднократно проводит внешний аудит системы ДЭГ с помощью привлечения «белых хакеров», сторонних специалистов для проверки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z">киберустойчивости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y" xml:space="preserve"> в рамках программы «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x">багбаунти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w">», проводятся многодневные «краш-тесты»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4v" w:id="18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u">. Привлекалось и научное соо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t">бщество — технические специалисты в области криптографии, математики и ИТ-систем ведущих российских вузов. При этом безусловной остается необходимость непрерывного и системного улучшения ДЭГ-инфраструктуры для обеспечения ее кибербезопасности в дальнейшем.</w:t>
      </w:r>
    </w:p>
    <w:p vyd:_id="vyd:0000000000004m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r" xml:space="preserve">Еще одним </w:t>
      </w:r>
      <w:r>
        <w:rPr>
          <w:rFonts w:ascii="Times New Roman" w:hAnsi="Times New Roman" w:eastAsia="Times New Roman" w:cs="Times New Roman"/>
          <w:sz w:val="28"/>
          <w:lang w:val="ru-RU"/>
          <w:szCs w:val="28"/>
        </w:rPr>
        <w:t vyd:_id="vyd:0000000000004q">вызовом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p" xml:space="preserve"> ДЭГ могут стать технические сбои из-за перегрузки систем в пиковые моменты или сбоев у конечных пользователей. Это требует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o">сох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n">ранения гибридной модели: ДЭГ — дополнительный канал, а не единственный формат участия. Зоной развития ДЭГ как способа голосования эксперты называют низкий уровень доверия к электронным процедурам, в том числе из-за активного роста цифрового мошенничества.</w:t>
      </w:r>
    </w:p>
    <w:p vyd:_id="vyd:0000000000004j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l">Для части граждан электронные проц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k">едуры менее осязаемы, чем бумажные, так как сложно увидеть подсчет голосов, сложнее понять, как обеспечивается тайна голосования. Отсюда возникает потребность в дополнительных механизмах легитимации: публичных разъяснениях и открытых демонстраций процедур.</w:t>
      </w:r>
    </w:p>
    <w:p vyd:_id="vyd:0000000000004h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4i">Слайд 23. Комплексный ответ рискам ДЭГ</w:t>
      </w:r>
    </w:p>
    <w:p vyd:_id="vyd:0000000000004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g">Когда мы говорим о рисках ДЭГ, важно под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f">черкнуть, что избирательная система выстраивает комплексный ответ сразу по трем взаимодополняющим линиям: технологической, правовой и коммуникационной. Принципиально, что ни одна из них не работает в одиночку, устойчивость достигается только их сочетанием.</w:t>
      </w:r>
    </w:p>
    <w:p vyd:_id="vyd:0000000000004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d" xml:space="preserve">Технологическая линия связана с обеспечением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c">киберустойчивости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b" xml:space="preserve"> инфраструктуры ДЭГ. Безопасность здесь понимается как непрерывный процесс. Это позволяет с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a">нижать риски сбоев и повышать устойчивость платформы в условиях пиковых нагрузок. Правовая линия отвечает за институционализацию цифровых процедур. Электронное голосование встраивается в нормативно-правовую рамку через регламентацию процедур, аудит и устан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9">овление ответственности операторов и организаторов. Коммуникационная линия направлена на преодоление разрыва доверия между сложной технологией и массовым восприятием. Для большинства граждан цифровые процедуры непрозрачны на интуитивном уровне, поэтому важ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8">ны разъяснения принципов работы систем, публичная демонстрация процедур и повышение цифровой грамотности. По мере накопления пользовательского опыта и понятных коммуникаций снижается тревожность и формируется практическое доверие к цифровым формам участия.</w:t>
      </w:r>
    </w:p>
    <w:p vyd:_id="vyd:0000000000003z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6">В долгосрочной перспективе именно сочетание технологических гарантий, правовой регламентации и продуманной коммуникации позволяет сделат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5" xml:space="preserve">ь цифровизацию выборов устойчивой и социально принятой, а преимущества ДЭГ более значимыми по сравнению с его текущими ограничениями. Кроме того, в сравнении с другими странами, ДЭГ является уникальной системой электронного голосования с криптографической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4">блокчейн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3" xml:space="preserve">-защитой, доступной для любого гражданина, в то время как в Австралии электронная система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2">iVote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1" xml:space="preserve"> доступна тольк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0" xml:space="preserve">о для людей с ограниченными возможностями, в Армении онлайн-голосование — преференция для военных и экспатов, в ряде стран — только для избирателей, находящихся за пределами страны, а на Гавайях интернет-голосование — это голосование по электронной почте. </w:t>
      </w:r>
    </w:p>
    <w:p vyd:_id="vyd:0000000000003y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3w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3x">Слайд 24. Мифы и фейки</w:t>
      </w:r>
    </w:p>
    <w:p vyd:_id="vyd:0000000000003s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v" xml:space="preserve">Однако важно понимать, что любая цифровая инфраструктура автоматически становится целью для внешних воздействий не только со стороны хакеров, но и со стороны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3u">акторов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3t" xml:space="preserve">, заинтересованных в подрыве доверия к избирательным институтам, ведь выборы — это символ легитимности власти, поэтому они становятся приоритетной целью, в том числе для информационных атак. </w:t>
      </w:r>
    </w:p>
    <w:p vyd:_id="vyd:0000000000003p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r">Кроме прямых кибератак, о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3q">дин из наиболее опасных классов угроз — это поддельные сайты, фейковые порталы для голосования, рассылки с вредоносными ссылками, имитация официальных ресурсов. Это переход от технической атаки к социальной инженерии, то есть атаке на доверие пользователя.</w:t>
      </w:r>
    </w:p>
    <w:p vyd:_id="vyd:0000000000003l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o" xml:space="preserve">Кроме того, во многих случаях цель информационных операций — не сорвать голосование, а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3n" xml:space="preserve">создать ощущение, что «все уже подделано» или «все заранее решено». Распространяются фейковые «сливы», ложные скриншоты результатов, сообщения о якобы массовых нарушениях без подтверждений. Таким образом, атака направлена не столько на систему, сколько на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3m">общественное восприятие. В этом смысле информационные угрозы работают на более долгосрочный эффект, чем разовый технический сбой.</w:t>
      </w:r>
    </w:p>
    <w:p vyd:_id="vyd:0000000000003j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k">Исходя из этого, вокруг ДЭГ формируется облако мифов. Разберем три главных из них:</w:t>
      </w:r>
    </w:p>
    <w:p vyd:_id="vyd:0000000000003h"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start="0"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i" xml:space="preserve"> «мой голос ничего не решает».</w:t>
      </w:r>
    </w:p>
    <w:p vyd:_id="vyd:0000000000003e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g">Этот тезис — один из самых устойчивых элементов антигосударственной пропаганды. Его функция заключается не в доказательстве фальсификации, а в снижении мотивации участия. Если гражданин уб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3f">ежден, что его голос «ничего не меняет», он добровольно исключает себя из политического процесса. В реальности существует целый ряд избирательных кампаний разных уровней, где отрыв одного победителя от другого составлял десятки, а иногда и единицы голосов;</w:t>
      </w:r>
    </w:p>
    <w:p vyd:_id="vyd:0000000000003c"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start="0"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d" xml:space="preserve"> «голосовать нужно в последний момент».</w:t>
      </w:r>
    </w:p>
    <w:p vyd:_id="vyd:00000000000039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b" xml:space="preserve">Распространенный миф о том,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3a">что «если проголосовать раньше — все подменят, а если в последнюю минуту, то не успеют», не имеет технологических оснований. Современные системы подведения итогов агрегируют данные централизованно, а процедура учета голоса не зависит от времени его подачи.</w:t>
      </w:r>
    </w:p>
    <w:p vyd:_id="vyd:0000000000003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8">Этот миф работает на психологическом уровне, создавая иллюзию хитрой стратегии для защиты своего голоса, но фактически не имеет процедурного смысла;</w:t>
      </w:r>
    </w:p>
    <w:p vyd:_id="vyd:00000000000035"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360" w:lineRule="auto"/>
        <w:ind w:start="0" w:firstLine="720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6">«все решают технологии».</w:t>
      </w:r>
    </w:p>
    <w:p vyd:_id="vyd:00000000000032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4">Еще популярно представление, что в цифровых выборах все решает машина. В действитель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33" xml:space="preserve">ности технологии встроены в систему с правовыми, процедурными и контрольными контурами. Они не подменяют собой политическое волеизъявление, а лишь изменяют форму его фиксации и обработки. При этом каждый этап может быть верифицирован внешним наблюдателем. </w:t>
      </w:r>
    </w:p>
    <w:p vyd:_id="vyd:0000000000002x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1" xml:space="preserve">Основные вызовы цифровой избирательной системы лежат не только в плоскости кибербезопасности, но и в сфере информационно-психологического воздействия. Кибератаки, фишинг, фейки и мифы работают на подрыв доверия к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30" xml:space="preserve">выборам как институту. Поэтому защита цифровых выборов — это не только технологическая задача, но и задача формирования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z">медиаграмотности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y" xml:space="preserve"> и устойчивости общества к манипуляциям.</w:t>
      </w:r>
    </w:p>
    <w:p vyd:_id="vyd:0000000000002w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2u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2v">Слайд 25. Вопрос</w:t>
      </w:r>
    </w:p>
    <w:p vyd:_id="vyd:0000000000002s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color w:val="000000"/>
          <w:b w:val="1"/>
          <w:bCs w:val="1"/>
        </w:rPr>
        <w:drawing vyd:_id="vyd:0000000000002t">
          <wp:inline distT="0" distB="0" distL="0" distR="0">
            <wp:extent cx="852805" cy="267335"/>
            <wp:effectExtent l="0" t="0" r="0" b="0"/>
            <wp:docPr id="6" name="image3.png"/>
            <wp:cNvGraphicFramePr/>
            <a:graphic>
              <a:graphicData uri="http://schemas.openxmlformats.org/drawingml/2006/picture">
                <pic:pic>
                  <pic:nvPicPr>
                    <pic:cNvPr id="0" name="image3.png"/>
                    <pic:nvPr/>
                    <pic:cNvPicPr/>
                  </pic:nvPicPr>
                  <pic:blipFill>
                    <a:blip r:embed="rId-9753e4fb-2158-466f-bddc-c65a351a6b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267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vyd:_id="vyd:0000000000002q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2r">Как думаете, что изображено на фото?</w:t>
      </w:r>
    </w:p>
    <w:p vyd:_id="vyd:0000000000002n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2p">А.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o" xml:space="preserve"> Работа серверов региональных сегментов с ДЭГ </w:t>
      </w:r>
    </w:p>
    <w:p vyd:_id="vyd:0000000000002k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2m">Б.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l" xml:space="preserve"> Передача результатов ДЭГ из регионов</w:t>
      </w:r>
    </w:p>
    <w:p vyd:_id="vyd:0000000000002h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2j">В.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i" xml:space="preserve"> Процесс разделения ключа расшифровки ДЭГ</w:t>
      </w:r>
    </w:p>
    <w:p vyd:_id="vyd:0000000000002e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2g">Г.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f" xml:space="preserve"> Загрузка программы ДЭГ на федеральный сервер</w:t>
      </w:r>
    </w:p>
    <w:p vyd:_id="vyd:0000000000002d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2b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2c">Слайд 26. Ответ</w:t>
      </w:r>
    </w:p>
    <w:p vyd:_id="vyd:00000000000028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2a">Ответ — В, это процесс разделения ключа расшифровки ДЭГ. Именно так выглядит эта процедура. Ключ расшифровки делится на несколько независимых частей и хранится у разных доверенных участников процедуры (в том числе — партии и о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9">бщественные наблюдатели), следовательно, расшифровка результатов возможна только при объединении всех частей, что исключает возможность единоличного доступа к результатам и гарантирует сохранение тайны голосования до момента официального подведения итогов.</w:t>
      </w:r>
    </w:p>
    <w:p vyd:_id="vyd:0000000000002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25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26">Слайд 27. Сочетание новаций и традиций</w:t>
      </w:r>
    </w:p>
    <w:p vyd:_id="vyd:00000000000021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24">Отдельно важно подчеркнуть принципиальную особенность российской модели цифровизации выборов — это сочетание новаций и традиций, или, иначе говоря, принцип «бумажной альтернативы». В отличие от сценариев, при которых цифровые техн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3" xml:space="preserve">ологии подменяют собой классические формы голосования, в российской практике электронные форматы не вытесняют традиционное голосование на избирательных участках, а существуют с ним в режиме равноправной альтернативы. Принципы всеобщего, равного, прямого и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2">тайного голосования остаются неизменными. Меняются инструменты реализации этих принципов — от бумажного бюллетеня к электронным сервисам, от ручного подсчета к автоматизированным системам.</w:t>
      </w:r>
    </w:p>
    <w:p vyd:_id="vyd:0000000000001y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20">Смысл этого подхода заключается в сохранении для гражданина свободы выбора не только политической позиции, но и формата участия в выборах. Часть избирателей предпочитает привычный офлай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z">н-формат: прийти на участок, получить бумажный бюллетень, опустить его в урну, лично наблюдать за атмосферой выборов. Для этих людей физическое присутствие на участке является важным элементом доверия к процедуре и символическим актом гражданского участия.</w:t>
      </w:r>
    </w:p>
    <w:p vyd:_id="vyd:0000000000001w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1x" xml:space="preserve">В то же время для другой части общества более комфортным оказывается цифровой формат — дистанционное электронное голосование или использование электронных сервисов. </w:t>
      </w:r>
    </w:p>
    <w:p vyd:_id="vyd:0000000000001t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1v">Таким образом, российская избирательная система сознательно избегает жесткой цифровизации и реализует модель гибридного участия, при которой цифровые технологии расширяют возможности граждан, не отменяя традиционных процедур. Это позволяет одновреме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u">нно решать две задачи: с одной стороны, повышать доступность и удобство участия в выборах, а с другой — сохранять доверие к избирательному процессу у тех групп населения, для которых бумажное голосование остается более понятным и психологически комфортным.</w:t>
      </w:r>
    </w:p>
    <w:p vyd:_id="vyd:0000000000001l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1s" xml:space="preserve">Кроме того, в последних реформах избирательного законодательства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1r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q">2025 года законодательно было закреплено положение, что при проведении электронного голосования должна быть обеспечена возможность проголосовать с помощью бумажного бюллетеня</w:t>
      </w:r>
      <w:r>
        <w:rPr>
          <w:rFonts w:ascii="Times New Roman" w:hAnsi="Times New Roman" w:eastAsia="Times New Roman" w:cs="Times New Roman"/>
          <w:sz w:val="28"/>
          <w:vertAlign w:val="superscript"/>
          <w:szCs w:val="28"/>
        </w:rPr>
        <w:footnoteReference vyd:_id="vyd:0000000000001p" w:id="19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o" xml:space="preserve">. Поэтому цифровизация не заменила собой традиционные формы, а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n">надстроилась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m" xml:space="preserve"> над ними. Бумажный бюллетень, участковые комиссии, наблюдатели — все это сохраняется как элемент доверия и привычной демократической культуры.</w:t>
      </w:r>
    </w:p>
    <w:p vyd:_id="vyd:0000000000001k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1i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1j" xml:space="preserve">Слайд 28. Роль государственного служащего </w:t>
      </w:r>
    </w:p>
    <w:p vyd:_id="vyd:0000000000001g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color w:val="000000"/>
          <w:b w:val="1"/>
          <w:bCs w:val="1"/>
        </w:rPr>
        <w:drawing vyd:_id="vyd:0000000000001h">
          <wp:inline distT="0" distB="0" distL="0" distR="0">
            <wp:extent cx="852805" cy="267335"/>
            <wp:effectExtent l="0" t="0" r="0" b="0"/>
            <wp:docPr id="7" name="image3.png"/>
            <wp:cNvGraphicFramePr/>
            <a:graphic>
              <a:graphicData uri="http://schemas.openxmlformats.org/drawingml/2006/picture">
                <pic:pic>
                  <pic:nvPicPr>
                    <pic:cNvPr id="0" name="image3.png"/>
                    <pic:nvPr/>
                    <pic:cNvPicPr/>
                  </pic:nvPicPr>
                  <pic:blipFill>
                    <a:blip r:embed="rId-e02227fc-aa0a-4277-a536-7c1c26a27abd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267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vyd:_id="vyd:0000000000001e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1f" xml:space="preserve">Как государственные служащие, как вы думаете, какая ваша роль в избирательном процессе? </w:t>
      </w:r>
    </w:p>
    <w:p vyd:_id="vyd:0000000000001c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i w:val="1"/>
          <w:iCs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iCs w:val="1"/>
          <w:szCs w:val="28"/>
        </w:rPr>
        <w:t vyd:_id="vyd:0000000000001d">Ответы участников.</w:t>
      </w:r>
    </w:p>
    <w:p vyd:_id="vyd:0000000000001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1b" xml:space="preserve">Говоря о легитимности цифровых выборов, мы часто фокусируемся на технологиях, правовых нормах,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a">киберзащите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9" xml:space="preserve"> и процедурах контроля. Все это, безусловно, критически важн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8">о. Однако в реальной жизни доверие к выборам формируется не только через абстрактные институты, но и через конкретных людей, которые представляют государство в повседневном взаимодействии с гражданами. И здесь ключевую роль играет государственный служащий.</w:t>
      </w:r>
    </w:p>
    <w:p vyd:_id="vyd:00000000000013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16">Для большинства граждан именно госслужащий является «лицом г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5">осударства», тем, через кого они получают информацию, задают вопросы. Его позиция, уровень осведомленности и личное отношение к избирательным процедурам напрямую влияют на то, как человек в целом воспринимает выборы и цифровые форматы участия. Если предста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4">витель государства демонстрирует неуверенность, скепсис или некомпетентность, это неизбежно транслируется в общественное недоверие. И наоборот, спокойная, профессиональная и аргументированная позиция формирует ощущение надежности и предсказуемости системы.</w:t>
      </w:r>
    </w:p>
    <w:p vyd:_id="vyd:00000000000012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10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11" xml:space="preserve">Слайд 29. Роль государственного служащего </w:t>
      </w:r>
    </w:p>
    <w:p vyd:_id="vyd:0000000000000w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0z">В условиях цифровизации эта роль только усиливается. Цифровые технологии для многих гр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y" xml:space="preserve">аждан остаются сложными и не до конца понятными. Поэтому именно государственный служащий становится своего рода переводчиком между сложной технологической системой и повседневным опытом человека. Его задача не только формально информировать, а разъяснять,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x">как работают новые инструменты, в чем их преимущества, какие существуют гарантии безопасности и каким образом защищается тайна голосования.</w:t>
      </w:r>
    </w:p>
    <w:p vyd:_id="vyd:0000000000000t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0v">И конечно, отдельное направление ответственности — это противодействие дезинформации. В предвыборный период информационное пространство насыщено слухами, фейками и мифами. Государственный с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u">лужащий не должен становиться участником этих спекуляций или ретранслятором непроверенной информации. Напротив, его роль — это опираться на официальные данные, разъяснять реальные процедуры и спокойно, без агрессии, снижать уровень тревожности и недоверия.</w:t>
      </w:r>
    </w:p>
    <w:p vyd:_id="vyd:0000000000000q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0s" xml:space="preserve">Важно понимать, что речь идет не о пропаганде, а о поддержании институционального доверия к выборам и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r">государству в целом. Граждане имеют право на вопросы и сомнения, и задача государства — отвечать на них профессионально, открыто и внятно. В этом смысле каждый госслужащий, взаимодействующий с людьми, становится элементом общей системы легитимации выборов.</w:t>
      </w:r>
    </w:p>
    <w:p vyd:_id="vyd:0000000000000p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pos="142" w:leader="none"/>
        </w:tabs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</w:p>
    <w:p vyd:_id="vyd:0000000000000n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0o">Слайд 30. Вывод</w:t>
      </w:r>
    </w:p>
    <w:p vyd:_id="vyd:0000000000000k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0m">Цифровиз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l">ация избирательного процесса в России — это не отказ от традиций, а их эволюционное развитие. Электронные технологии встроены в существующую правовую систему и реализуют те же базовые принципы выборов как свобода, равенство, тайна и добровольность участия.</w:t>
      </w:r>
    </w:p>
    <w:p vyd:_id="vyd:0000000000000h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0j">Ключе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i">вая особенность модели заключается в принципе «бумажной альтернативы»: цифровые форматы расширяют возможности граждан, но не вытесняют традиционное голосование. Это позволяет повышать доступность и удобство участия, сохраняя доверие к привычным процедурам.</w:t>
      </w:r>
    </w:p>
    <w:p vyd:_id="vyd:0000000000000b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0g" xml:space="preserve">Несмотря на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f">киберугрозы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e" xml:space="preserve"> и информационные атаки, устойчивость цифровых выборов обеспечива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d" xml:space="preserve">ется сочетанием технологической защиты, правовой регламентации и грамотной коммуникации. В итоге цифровизация выступает как инструмент модернизации и укрепления избирательной системы в условиях цифровой эпохи. А уже достигнутый на сегодняшний день уровень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c">цифровизации избирательного процесса позволяет считать нашу систему самой удобной и технологичной в мире.</w:t>
      </w:r>
    </w:p>
    <w:p vyd:_id="vyd:0000000000000a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08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09">Слайд 31. Обратная связь</w:t>
      </w:r>
    </w:p>
    <w:p vyd:_id="vyd:00000000000006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07">Спасибо за внимание! Надеюсь, вам было интересно сегодня, и вы узнали что-то новое или закрепили уже имеющиеся знания, а сейчас прошу вас оставить обратную связь по QR-коду, который вы видите на экране.</w:t>
      </w:r>
    </w:p>
    <w:p vyd:_id="vyd:00000000000005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vyd:_id="vyd:00000000000003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04">Слайд 32. Полезные ссылки</w:t>
      </w:r>
    </w:p>
    <w:sectPr vyd:_id="vyd:00000000000002">
      <w:headerReference r:id="rId9" w:type="default"/>
      <w:footerReference r:id="rId11" w:type="default"/>
      <w:headerReference r:id="rId10" w:type="first"/>
      <w:footnotePr/>
      <w:endnotePr/>
      <w:type w:val="nextPage"/>
      <w:pgSz w:w="11909" w:h="16834" w:orient="portrait"/>
      <w:pgMar w:top="1133" w:right="1132" w:bottom="664" w:left="1133" w:header="720" w:footer="720" w:gutter="0"/>
      <w:pgNumType w:start="1"/>
      <w:cols w:equalWidth="1" w:space="720" w:num="1" w:sep="0"/>
      <w:vAlign w:val="top"/>
      <w:titlePg w:val="1"/>
      <w:docGrid w:linePitch="360"/>
    </w:sectPr>
  </w:body>
</w:document>
</file>

<file path=word/endnotes.xml><?xml version="1.0" encoding="utf-8"?>
<w:endnotes xmlns:w="http://schemas.openxmlformats.org/wordprocessingml/2006/main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w="http://schemas.openxmlformats.org/wordprocessingml/2006/main" xmlns:w14="http://schemas.microsoft.com/office/word/2010/wordml" xmlns:w15="http://schemas.microsoft.com/office/word/2012/wordml" xmlns:mc="http://schemas.openxmlformats.org/markup-compatibility/2006" mc:Ignorable="w14 w15"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Cambria">
    <w:panose1 w:val="02040503050406030204"/>
  </w:font>
  <w:font w:name="Noto Sans Symbols"/>
  <w:font w:name="Arial">
    <w:panose1 w:val="020B0604020202020204"/>
  </w:font>
  <w:font w:name="Calibri">
    <w:panose1 w:val="020F0502020204030204"/>
  </w:font>
</w:fonts>
</file>

<file path=word/footer1.xml><?xml version="1.0" encoding="utf-8"?>
<w:ftr xmlns:w="http://schemas.openxmlformats.org/wordprocessingml/2006/main" xmlns:vyd="http://volga.yandex.com/schemas/document/model" vyd:_id="vyd:000000000000g0">
  <w:p vyd:_id="vyd:000000000000g1">
    <w:pPr>
      <w:jc w:val="end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fldChar w:fldCharType="begin" vyd:_id="vyd:000000000000g3"/>
    </w:r>
    <w:r>
      <w:rPr>
        <w:rFonts w:ascii="Times New Roman" w:hAnsi="Times New Roman" w:eastAsia="Times New Roman" w:cs="Times New Roman"/>
        <w:sz w:val="28"/>
        <w:szCs w:val="28"/>
      </w:rPr>
      <w:instrText>PAGE</w:instrText>
    </w:r>
    <w:r>
      <w:rPr>
        <w:rFonts w:ascii="Times New Roman" w:hAnsi="Times New Roman" w:eastAsia="Times New Roman" w:cs="Times New Roman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sz w:val="28"/>
        <w:szCs w:val="28"/>
      </w:rPr>
      <w:t vyd:_id="vyd:000000000000g2">2</w:t>
    </w:r>
    <w:r>
      <w:rPr>
        <w:rFonts w:ascii="Times New Roman" w:hAnsi="Times New Roman" w:eastAsia="Times New Roman" w:cs="Times New Roman"/>
        <w:sz w:val="28"/>
        <w:szCs w:val="28"/>
      </w:rPr>
      <w:fldChar w:fldCharType="end" vyd:_id="vyd:000000000000g3-end"/>
    </w:r>
  </w:p>
</w:ftr>
</file>

<file path=word/footnotes.xml><?xml version="1.0" encoding="utf-8"?>
<w:footnotes xmlns:w="http://schemas.openxmlformats.org/wordprocessingml/2006/main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  <w:footnote w:id="2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Виноградова И. М. Этапы цифровизации избирательного процесса в России // Цифровизация как вызов современности: между гуманизацией и дегуманизацией : сб. материалов и докладов XXV рос. науч.-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практ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конф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с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междунар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участием, Екатеринбург, 12–13 апр. 2023 г. — Екатеринбург, 2023. — С. 582-586.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3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http://www.cikrf.ru/upload/publications/GAS_vibori.pdf (дата обращения 18.03.2026)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4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https://www.rcoit.ru/upload/iblock/0eb/koib1.pdf (дата обращения 18.03.2026)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5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Федоров, В. И. Эволюция электронного голосования в России: проблемы классификации и периодизации / В. И. Федоров, Д. А. Ежов // Вестник Московского государственного областного университета. – 2021. – № 1. С. 146-162.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6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https://www.kommersant.ru/doc/1886918 (дата обращения 18.03.2026)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7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http://www.cikrf.ru/vestnik/30-let-sovr-izbir-sist/iz-istorii/54223.html (дата обращения 18.03.2026)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8">
    <w:p>
      <w:pPr>
        <w:pStyle w:val="1130"/>
        <w:rPr>
          <w:rFonts w:ascii="Times New Roman" w:hAnsi="Times New Roman" w:cs="Times New Roman"/>
        </w:rPr>
      </w:pPr>
      <w:r>
        <w:rPr>
          <w:rStyle w:val="1132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https://tass.ru/politika/20194529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9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Масланов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Е.В. Цифровизация и развитие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информационнокоммуникационных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технологий: новые вызовы или обострение старых проблем? // Научный электронный журнал Цифровой ученый: лаборатория философа. 2019. № 1. Т. 2. С. 6-21.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0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http://www.cikrf.ru/analog/ediny-den-golosovaniya-2025/distantsionnoe-elektronnoe-golosovanie/ (дата обращения 18.03.2026)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1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http://www.cikrf.ru/news/cec/58104/ (дата обращения 18.03.2026)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2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https://ria.ru/20250522/pamfilova-2018414888.html (дата обращения 18.03.2026)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3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Виноградова И. М. Технология дистанционного электронного голосования в России: опыт реализации и дальнейшие перспективы / И. М. Виноградова //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PolitBook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2024. № 2. С. 51-76.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4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Алексеев, Р. А.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Блокчейн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как избирательная технология нового поколения - перспективы применения на выборах в современной России // Вестник Московского государственного областного университета. – 2018. – № 2. С. 3-10.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5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Виноградова И. М. Технология дистанционного электронного голосования в России: опыт реализации и дальнейшие перспективы / И. М. Виноградова //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PolitBook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. 2024. № 2. С. 51-76.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6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https://rg.ru/2024/03/18/pamfilova-svyshe-8-mln-izbiratelej-progolosovali-elektronno.html?utm_referrer=https%3A%2F%2Fyandex.ru%2F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7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https://www.interfax.ru/russia/920143 (дата обращения 18.03.2026)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8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https://www.interfax.ru/russia/917876 (дата обращения 18.03.2026)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9"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jc w:val="both"/>
        <w:rPr>
          <w:rFonts w:ascii="Cambria" w:hAnsi="Cambria" w:eastAsia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Федеральный закон от 23 мая 2025 г. № 115-ФЗ «О внесении изменений в отдельные законодательные акты Российской Федерации»</w:t>
      </w:r>
      <w:r>
        <w:rPr>
          <w:rFonts w:ascii="Cambria" w:hAnsi="Cambria" w:eastAsia="Cambria" w:cs="Cambria"/>
          <w:color w:val="000000"/>
          <w:sz w:val="20"/>
          <w:szCs w:val="20"/>
        </w:rPr>
      </w:r>
      <w:r>
        <w:rPr>
          <w:rFonts w:ascii="Cambria" w:hAnsi="Cambria" w:eastAsia="Cambria" w:cs="Cambria"/>
          <w:color w:val="000000"/>
          <w:sz w:val="20"/>
          <w:szCs w:val="20"/>
        </w:rPr>
      </w:r>
    </w:p>
  </w:footnote>
</w:footnotes>
</file>

<file path=word/header1.xml><?xml version="1.0" encoding="utf-8"?>
<w:hdr xmlns:wp="http://schemas.openxmlformats.org/drawingml/2006/wordprocessingDrawing" xmlns:w="http://schemas.openxmlformats.org/wordprocessingml/2006/main" xmlns:pic="http://schemas.openxmlformats.org/drawingml/2006/picture" xmlns:a="http://schemas.openxmlformats.org/drawingml/2006/main" xmlns:r="http://schemas.openxmlformats.org/officeDocument/2006/relationships" xmlns:vyd="http://volga.yandex.com/schemas/document/model" vyd:_id="vyd:000000000000fu">
  <w:p vyd:_id="vyd:000000000000fv">
    <w:pPr>
      <w:jc w:val="center"/>
    </w:pPr>
    <w:r>
      <w:rPr>
        <w:color w:val="000000"/>
      </w:rPr>
      <w:drawing vyd:_id="vyd:000000000000fw">
        <wp:inline distT="0" distB="0" distL="0" distR="0">
          <wp:extent cx="1755775" cy="408305"/>
          <wp:effectExtent l="0" t="0" r="0" b="0"/>
          <wp:docPr id="1" name="image2.png"/>
          <wp:cNvGraphicFramePr/>
          <a:graphic>
            <a:graphicData uri="http://schemas.openxmlformats.org/drawingml/2006/picture">
              <pic:pic>
                <pic:nvPicPr>
                  <pic:cNvPr id="0" name="image2.png"/>
                  <pic:nvPr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408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="http://schemas.openxmlformats.org/drawingml/2006/wordprocessingDrawing" xmlns:w="http://schemas.openxmlformats.org/wordprocessingml/2006/main" xmlns:pic="http://schemas.openxmlformats.org/drawingml/2006/picture" xmlns:a="http://schemas.openxmlformats.org/drawingml/2006/main" xmlns:r="http://schemas.openxmlformats.org/officeDocument/2006/relationships" xmlns:vyd="http://volga.yandex.com/schemas/document/model" vyd:_id="vyd:000000000000fx">
  <w:p vyd:_id="vyd:000000000000fy"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center" w:pos="4677" w:leader="none"/>
        <w:tab w:val="right" w:pos="9355" w:leader="none"/>
      </w:tabs>
      <w:spacing w:line="240" w:lineRule="auto"/>
      <w:jc w:val="center"/>
      <w:rPr>
        <w:color w:val="000000"/>
      </w:rPr>
    </w:pPr>
    <w:r>
      <w:rPr>
        <w:color w:val="000000"/>
      </w:rPr>
      <w:drawing vyd:_id="vyd:000000000000fz">
        <wp:inline distT="0" distB="0" distL="0" distR="0">
          <wp:extent cx="1755775" cy="408305"/>
          <wp:effectExtent l="0" t="0" r="0" b="0"/>
          <wp:docPr id="2" name="image2.png"/>
          <wp:cNvGraphicFramePr/>
          <a:graphic>
            <a:graphicData uri="http://schemas.openxmlformats.org/drawingml/2006/picture">
              <pic:pic>
                <pic:nvPicPr>
                  <pic:cNvPr id="0" name="image2.png"/>
                  <pic:nvPr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408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isLgl w:val="0"/>
      <w:suff w:val="tab"/>
      <w:lvlText w:val="−"/>
      <w:lvlJc w:val="start"/>
      <w:pPr>
        <w:ind w:star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0"/>
      <w:suff w:val="tab"/>
      <w:lvlText w:val="o"/>
      <w:lvlJc w:val="start"/>
      <w:pPr>
        <w:ind w:star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0"/>
      <w:suff w:val="tab"/>
      <w:lvlText w:val="▪"/>
      <w:lvlJc w:val="start"/>
      <w:pPr>
        <w:ind w:star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0"/>
      <w:suff w:val="tab"/>
      <w:lvlText w:val="●"/>
      <w:lvlJc w:val="start"/>
      <w:pPr>
        <w:ind w:star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0"/>
      <w:suff w:val="tab"/>
      <w:lvlText w:val="o"/>
      <w:lvlJc w:val="start"/>
      <w:pPr>
        <w:ind w:star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0"/>
      <w:suff w:val="tab"/>
      <w:lvlText w:val="▪"/>
      <w:lvlJc w:val="start"/>
      <w:pPr>
        <w:ind w:star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0"/>
      <w:suff w:val="tab"/>
      <w:lvlText w:val="●"/>
      <w:lvlJc w:val="start"/>
      <w:pPr>
        <w:ind w:star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0"/>
      <w:suff w:val="tab"/>
      <w:lvlText w:val="o"/>
      <w:lvlJc w:val="start"/>
      <w:pPr>
        <w:ind w:star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0"/>
      <w:suff w:val="tab"/>
      <w:lvlText w:val="▪"/>
      <w:lvlJc w:val="start"/>
      <w:pPr>
        <w:ind w:star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bullet"/>
      <w:isLgl w:val="0"/>
      <w:suff w:val="tab"/>
      <w:lvlText w:val="−"/>
      <w:lvlJc w:val="start"/>
      <w:pPr>
        <w:ind w:star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isLgl w:val="0"/>
      <w:suff w:val="tab"/>
      <w:lvlText w:val="o"/>
      <w:lvlJc w:val="start"/>
      <w:pPr>
        <w:ind w:star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isLgl w:val="0"/>
      <w:suff w:val="tab"/>
      <w:lvlText w:val="▪"/>
      <w:lvlJc w:val="start"/>
      <w:pPr>
        <w:ind w:star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isLgl w:val="0"/>
      <w:suff w:val="tab"/>
      <w:lvlText w:val="▪"/>
      <w:lvlJc w:val="start"/>
      <w:pPr>
        <w:ind w:star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isLgl w:val="0"/>
      <w:suff w:val="tab"/>
      <w:lvlText w:val="▪"/>
      <w:lvlJc w:val="start"/>
      <w:pPr>
        <w:ind w:star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isLgl w:val="0"/>
      <w:suff w:val="tab"/>
      <w:lvlText w:val="▪"/>
      <w:lvlJc w:val="start"/>
      <w:pPr>
        <w:ind w:star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isLgl w:val="0"/>
      <w:suff w:val="tab"/>
      <w:lvlText w:val="▪"/>
      <w:lvlJc w:val="start"/>
      <w:pPr>
        <w:ind w:star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isLgl w:val="0"/>
      <w:suff w:val="tab"/>
      <w:lvlText w:val="▪"/>
      <w:lvlJc w:val="start"/>
      <w:pPr>
        <w:ind w:star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isLgl w:val="0"/>
      <w:suff w:val="tab"/>
      <w:lvlText w:val="▪"/>
      <w:lvlJc w:val="start"/>
      <w:pPr>
        <w:ind w:star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2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1440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880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600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5040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760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20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0"/>
      <w:suff w:val="tab"/>
      <w:lvlText w:val="%1)"/>
      <w:lvlJc w:val="start"/>
      <w:pPr>
        <w:ind w:start="720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4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w="http://schemas.openxmlformats.org/wordprocessingml/2006/main" xmlns:o="urn:schemas-microsoft-com:office:office" xmlns:m="http://schemas.openxmlformats.org/officeDocument/2006/math" xmlns:v="urn:schemas-microsoft-com:vml">
  <w:zoom w:percent="100"/>
  <w:displayBackgroundShape w:val="1"/>
  <w:trackRevisions w:val="0"/>
  <w:documentProtection/>
  <w:defaultTabStop w:val="720"/>
  <w:evenAndOddHeaders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hint="default" w:ascii="Arial" w:hAnsi="Arial" w:eastAsia="Arial" w:cs="Arial"/>
        <w:sz w:val="22"/>
        <w:lang w:val="ru"/>
        <w:szCs w:val="22"/>
      </w:rPr>
    </w:rPrDefault>
    <w:pPrDefault>
      <w:pPr>
        <w:spacing w:before="0" w:beforeAutospacing="0" w:after="0" w:afterAutospacing="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table" w:styleId="1000">
    <w:name w:val="Grid Table 5 Dark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1001">
    <w:name w:val="Grid Table 5 Dark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1002">
    <w:name w:val="Grid Table 5 Dark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1003">
    <w:name w:val="Grid Table 5 Dark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1004">
    <w:name w:val="Grid Table 5 Dark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1005">
    <w:name w:val="Grid Table 5 Dark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1006">
    <w:name w:val="Grid Table 5 Dark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1007">
    <w:name w:val="Grid Table 6 Colorful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 w:themeTint="80" w:themeShade="95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404040" w:themeColor="text1" w:themeTint="80" w:themeShade="95"/>
      </w:rPr>
    </w:tblStylePr>
    <w:tblStylePr w:type="firstCol">
      <w:rPr>
        <w:color w:val="4a4a4a" w:themeColor="text1" w:themeTint="80" w:themeShade="95"/>
        <w:b w:val="1"/>
      </w:rPr>
    </w:tblStylePr>
    <w:tblStylePr w:type="firstRow">
      <w:rPr>
        <w:color w:val="4a4a4a" w:themeColor="text1" w:themeTint="80" w:themeShade="95"/>
        <w:b w:val="1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color w:val="4a4a4a" w:themeColor="text1" w:themeTint="80" w:themeShade="95"/>
        <w:b w:val="1"/>
      </w:rPr>
    </w:tblStylePr>
    <w:tblStylePr w:type="lastRow">
      <w:rPr>
        <w:color w:val="4a4a4a" w:themeColor="text1" w:themeTint="80" w:themeShade="95"/>
        <w:b w:val="1"/>
      </w:rPr>
    </w:tblStylePr>
    <w:tblStylePr w:type="wholeTable">
      <w:rPr>
        <w:rFonts w:ascii="Arial" w:hAnsi="Arial"/>
        <w:sz w:val="22"/>
        <w:color w:val="404040" w:themeColor="text1" w:themeTint="80" w:themeShade="95"/>
      </w:rPr>
    </w:tblStylePr>
  </w:style>
  <w:style w:type="table" w:styleId="1008">
    <w:name w:val="Grid Table 6 Colorful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404040" w:themeColor="accent1" w:themeTint="80" w:themeShade="95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sz w:val="22"/>
        <w:color w:val="404040" w:themeColor="accent1" w:themeTint="80" w:themeShade="95"/>
      </w:rPr>
    </w:tblStylePr>
    <w:tblStylePr w:type="firstCol">
      <w:rPr>
        <w:color w:val="3e70a3" w:themeColor="accent1" w:themeTint="80" w:themeShade="95"/>
        <w:b w:val="1"/>
      </w:rPr>
    </w:tblStylePr>
    <w:tblStylePr w:type="firstRow">
      <w:rPr>
        <w:color w:val="3e70a3" w:themeColor="accent1" w:themeTint="80" w:themeShade="95"/>
        <w:b w:val="1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color w:val="3e70a3" w:themeColor="accent1" w:themeTint="80" w:themeShade="95"/>
        <w:b w:val="1"/>
      </w:rPr>
    </w:tblStylePr>
    <w:tblStylePr w:type="lastRow">
      <w:rPr>
        <w:color w:val="3e70a3" w:themeColor="accent1" w:themeTint="80" w:themeShade="95"/>
        <w:b w:val="1"/>
      </w:rPr>
    </w:tblStylePr>
    <w:tblStylePr w:type="wholeTable">
      <w:rPr>
        <w:rFonts w:ascii="Arial" w:hAnsi="Arial"/>
        <w:sz w:val="22"/>
        <w:color w:val="404040" w:themeColor="accent1" w:themeTint="80" w:themeShade="95"/>
      </w:rPr>
    </w:tblStylePr>
  </w:style>
  <w:style w:type="table" w:styleId="1009">
    <w:name w:val="Grid Table 6 Colorful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9c3a37" w:themeColor="accent2" w:themeTint="97" w:themeShade="95"/>
        <w:b w:val="1"/>
      </w:rPr>
    </w:tblStylePr>
    <w:tblStylePr w:type="firstRow">
      <w:rPr>
        <w:color w:val="9c3a37" w:themeColor="accent2" w:themeTint="97" w:themeShade="95"/>
        <w:b w:val="1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color w:val="9c3a37" w:themeColor="accent2" w:themeTint="97" w:themeShade="95"/>
        <w:b w:val="1"/>
      </w:rPr>
    </w:tblStylePr>
    <w:tblStylePr w:type="lastRow">
      <w:rPr>
        <w:color w:val="9c3a37" w:themeColor="accent2" w:themeTint="97" w:themeShade="95"/>
        <w:b w:val="1"/>
      </w:rPr>
    </w:tblStylePr>
    <w:tblStylePr w:type="wholeTable">
      <w:rPr>
        <w:rFonts w:ascii="Arial" w:hAnsi="Arial"/>
        <w:sz w:val="22"/>
        <w:color w:val="404040" w:themeColor="accent2" w:themeTint="97" w:themeShade="95"/>
      </w:rPr>
    </w:tblStylePr>
  </w:style>
  <w:style w:type="table" w:styleId="1010">
    <w:name w:val="Grid Table 6 Colorful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 w:themeColor="accent3" w:themeTint="FE" w:themeShade="95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sz w:val="22"/>
        <w:color w:val="404040" w:themeColor="accent3" w:themeTint="FE" w:themeShade="95"/>
      </w:rPr>
    </w:tblStylePr>
    <w:tblStylePr w:type="firstCol">
      <w:rPr>
        <w:color w:val="5c702f" w:themeColor="accent3" w:themeTint="FE" w:themeShade="95"/>
        <w:b w:val="1"/>
      </w:rPr>
    </w:tblStylePr>
    <w:tblStylePr w:type="firstRow">
      <w:rPr>
        <w:color w:val="5c702f" w:themeColor="accent3" w:themeTint="FE" w:themeShade="95"/>
        <w:b w:val="1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color w:val="5c702f" w:themeColor="accent3" w:themeTint="FE" w:themeShade="95"/>
        <w:b w:val="1"/>
      </w:rPr>
    </w:tblStylePr>
    <w:tblStylePr w:type="lastRow">
      <w:rPr>
        <w:color w:val="5c702f" w:themeColor="accent3" w:themeTint="FE" w:themeShade="95"/>
        <w:b w:val="1"/>
      </w:rPr>
    </w:tblStylePr>
    <w:tblStylePr w:type="wholeTable">
      <w:rPr>
        <w:rFonts w:ascii="Arial" w:hAnsi="Arial"/>
        <w:sz w:val="22"/>
        <w:color w:val="404040" w:themeColor="accent3" w:themeTint="FE" w:themeShade="95"/>
      </w:rPr>
    </w:tblStylePr>
  </w:style>
  <w:style w:type="table" w:styleId="1011">
    <w:name w:val="Grid Table 6 Colorful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664f82" w:themeColor="accent4" w:themeTint="9A" w:themeShade="95"/>
        <w:b w:val="1"/>
      </w:rPr>
    </w:tblStylePr>
    <w:tblStylePr w:type="firstRow">
      <w:rPr>
        <w:color w:val="664f82" w:themeColor="accent4" w:themeTint="9A" w:themeShade="95"/>
        <w:b w:val="1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color w:val="664f82" w:themeColor="accent4" w:themeTint="9A" w:themeShade="95"/>
        <w:b w:val="1"/>
      </w:rPr>
    </w:tblStylePr>
    <w:tblStylePr w:type="lastRow">
      <w:rPr>
        <w:color w:val="664f82" w:themeColor="accent4" w:themeTint="9A" w:themeShade="95"/>
        <w:b w:val="1"/>
      </w:rPr>
    </w:tblStylePr>
    <w:tblStylePr w:type="wholeTable">
      <w:rPr>
        <w:rFonts w:ascii="Arial" w:hAnsi="Arial"/>
        <w:sz w:val="22"/>
        <w:color w:val="404040" w:themeColor="accent4" w:themeTint="9A" w:themeShade="95"/>
      </w:rPr>
    </w:tblStylePr>
  </w:style>
  <w:style w:type="table" w:styleId="1012">
    <w:name w:val="Grid Table 6 Colorful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66777" w:themeColor="accent5" w:themeShade="95"/>
        <w:b w:val="1"/>
      </w:rPr>
    </w:tblStylePr>
    <w:tblStylePr w:type="firstRow">
      <w:rPr>
        <w:color w:val="266777" w:themeColor="accent5" w:themeShade="95"/>
        <w:b w:val="1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266777" w:themeColor="accent5" w:themeShade="95"/>
        <w:b w:val="1"/>
      </w:rPr>
    </w:tblStylePr>
    <w:tblStylePr w:type="lastRow">
      <w:rPr>
        <w:color w:val="266777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1013">
    <w:name w:val="Grid Table 6 Colorful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66777" w:themeColor="accent5" w:themeShade="95"/>
        <w:b w:val="1"/>
      </w:rPr>
    </w:tblStylePr>
    <w:tblStylePr w:type="firstRow">
      <w:rPr>
        <w:color w:val="266777" w:themeColor="accent5" w:themeShade="95"/>
        <w:b w:val="1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266777" w:themeColor="accent5" w:themeShade="95"/>
        <w:b w:val="1"/>
      </w:rPr>
    </w:tblStylePr>
    <w:tblStylePr w:type="lastRow">
      <w:rPr>
        <w:color w:val="266777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1014">
    <w:name w:val="Grid Table 7 Colorful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single" w:color="000000" w:themeColor="text1" w:themeTint="8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single" w:color="000000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1015">
    <w:name w:val="Grid Table 7 Colorful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3e70a3" w:themeColor="accent1" w:themeTint="80" w:themeShade="95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sz w:val="22"/>
        <w:color w:val="3e70a3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3e70a3" w:themeColor="accen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e70a3" w:themeColor="accent1" w:themeTint="80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e70a3" w:themeColor="accent1" w:themeTint="80" w:themeShade="95"/>
        <w:i w:val="1"/>
      </w:rPr>
      <w:tcPr>
        <w:tcBorders>
          <w:top w:val="none" w:color="000000" w:sz="4" w:space="0"/>
          <w:start w:val="single" w:color="000000" w:themeColor="accent1" w:themeTint="8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3e70a3" w:themeColor="accent1" w:themeTint="80" w:themeShade="95"/>
        <w:b w:val="1"/>
      </w:rPr>
      <w:tcPr>
        <w:tcBorders>
          <w:top w:val="single" w:color="000000" w:themeColor="accen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1016">
    <w:name w:val="Grid Table 7 Colorful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9c3a37" w:themeColor="accent2" w:themeTint="97" w:themeShade="95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sz w:val="22"/>
        <w:color w:val="9c3a37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9c3a37" w:themeColor="accent2" w:themeTint="97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color="000000" w:sz="4" w:space="0"/>
          <w:start w:val="single" w:color="000000" w:themeColor="accent2" w:themeTint="97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9c3a37" w:themeColor="accent2" w:themeTint="97" w:themeShade="95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1017">
    <w:name w:val="Grid Table 7 Colorful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5c702f" w:themeColor="accent3" w:themeTint="FE" w:themeShade="95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sz w:val="22"/>
        <w:color w:val="5c702f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5c702f" w:themeColor="accent3" w:themeTint="FE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5c702f" w:themeColor="accent3" w:themeTint="FE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c702f" w:themeColor="accent3" w:themeTint="FE" w:themeShade="95"/>
        <w:i w:val="1"/>
      </w:rPr>
      <w:tcPr>
        <w:tcBorders>
          <w:top w:val="none" w:color="000000" w:sz="4" w:space="0"/>
          <w:start w:val="single" w:color="000000" w:themeColor="accent3" w:themeTint="FE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5c702f" w:themeColor="accent3" w:themeTint="FE" w:themeShade="95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1018">
    <w:name w:val="Grid Table 7 Colorful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664f82" w:themeColor="accent4" w:themeTint="9A" w:themeShade="95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sz w:val="22"/>
        <w:color w:val="664f82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64f82" w:themeColor="accent4" w:themeTint="9A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color="000000" w:sz="4" w:space="0"/>
          <w:start w:val="single" w:color="000000" w:themeColor="accent4" w:themeTint="9A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664f82" w:themeColor="accent4" w:themeTint="9A" w:themeShade="95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1019">
    <w:name w:val="Grid Table 7 Colorful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266777" w:themeColor="accent5" w:themeShade="95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sz w:val="22"/>
        <w:color w:val="266777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66777" w:themeColor="accent5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66777" w:themeColor="accent5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66777" w:themeColor="accent5" w:themeShade="95"/>
        <w:i w:val="1"/>
      </w:rPr>
      <w:tcPr>
        <w:tcBorders>
          <w:top w:val="none" w:color="000000" w:sz="4" w:space="0"/>
          <w:start w:val="single" w:color="000000" w:themeColor="accent5" w:themeTint="9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266777" w:themeColor="accent5" w:themeShade="95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1020">
    <w:name w:val="Grid Table 7 Colorful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b05307" w:themeColor="accent6" w:themeShade="95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sz w:val="22"/>
        <w:color w:val="b05307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b05307" w:themeColor="accent6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b05307" w:themeColor="accent6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b05307" w:themeColor="accent6" w:themeShade="95"/>
        <w:i w:val="1"/>
      </w:rPr>
      <w:tcPr>
        <w:tcBorders>
          <w:top w:val="none" w:color="000000" w:sz="4" w:space="0"/>
          <w:start w:val="single" w:color="000000" w:themeColor="accent6" w:themeTint="9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b05307" w:themeColor="accent6" w:themeShade="95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1021">
    <w:name w:val="List Table 1 Light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22">
    <w:name w:val="List Table 1 Light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23">
    <w:name w:val="List Table 1 Light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24">
    <w:name w:val="List Table 1 Light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25">
    <w:name w:val="List Table 1 Light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26">
    <w:name w:val="List Table 1 Light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27">
    <w:name w:val="List Table 1 Light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28">
    <w:name w:val="List Table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</w:style>
  <w:style w:type="table" w:styleId="1029">
    <w:name w:val="List Table 2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</w:style>
  <w:style w:type="table" w:styleId="1030">
    <w:name w:val="List Table 2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</w:style>
  <w:style w:type="table" w:styleId="1031">
    <w:name w:val="List Table 2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</w:style>
  <w:style w:type="table" w:styleId="1032">
    <w:name w:val="List Table 2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</w:style>
  <w:style w:type="table" w:styleId="1033">
    <w:name w:val="List Table 2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</w:style>
  <w:style w:type="table" w:styleId="1034">
    <w:name w:val="List Table 2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</w:style>
  <w:style w:type="table" w:styleId="1035">
    <w:name w:val="List Table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36">
    <w:name w:val="List Table 3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1" w:sz="4" w:space="0"/>
          <w:end w:val="single" w:color="000000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37">
    <w:name w:val="List Table 3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2" w:themeTint="97" w:sz="4" w:space="0"/>
          <w:end w:val="single" w:color="000000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themeTint="97" w:fill="d9969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38">
    <w:name w:val="List Table 3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3" w:themeTint="98" w:sz="4" w:space="0"/>
          <w:end w:val="single" w:color="000000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themeTint="98" w:fill="c3d69b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39">
    <w:name w:val="List Table 3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4" w:themeTint="9A" w:sz="4" w:space="0"/>
          <w:end w:val="single" w:color="000000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themeTint="9A" w:fill="b2a1c6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40">
    <w:name w:val="List Table 3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5" w:themeTint="9A" w:sz="4" w:space="0"/>
          <w:end w:val="single" w:color="000000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themeTint="9A" w:fill="91cddc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41">
    <w:name w:val="List Table 3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6" w:themeTint="98" w:sz="4" w:space="0"/>
          <w:end w:val="single" w:color="000000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themeTint="98" w:fill="f9bf90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42">
    <w:name w:val="List Table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43">
    <w:name w:val="List Table 4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44">
    <w:name w:val="List Table 4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45">
    <w:name w:val="List Table 4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46">
    <w:name w:val="List Table 4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47">
    <w:name w:val="List Table 4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48">
    <w:name w:val="List Table 4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049">
    <w:name w:val="List Table 5 Dark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text1" w:themeTint="80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start w:val="single" w:color="000000" w:themeColor="light1" w:sz="4" w:space="0"/>
          <w:end w:val="single" w:color="000000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050">
    <w:name w:val="List Table 5 Dark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1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start w:val="single" w:color="000000" w:themeColor="light1" w:sz="4" w:space="0"/>
          <w:end w:val="single" w:color="000000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051">
    <w:name w:val="List Table 5 Dark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2" w:themeTint="97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start w:val="single" w:color="000000" w:themeColor="light1" w:sz="4" w:space="0"/>
          <w:end w:val="single" w:color="000000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052">
    <w:name w:val="List Table 5 Dark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3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053">
    <w:name w:val="List Table 5 Dark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4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054">
    <w:name w:val="List Table 5 Dark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5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055">
    <w:name w:val="List Table 5 Dark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6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056">
    <w:name w:val="List Table 6 Colorful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0404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cPr>
        <w:tcBorders>
          <w:top w:val="single" w:color="000000" w:themeColor="text1" w:themeTint="80" w:sz="4" w:space="0"/>
        </w:tcBorders>
      </w:tcPr>
    </w:tblStylePr>
  </w:style>
  <w:style w:type="table" w:styleId="1057">
    <w:name w:val="List Table 6 Colorful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sz w:val="22"/>
        <w:color w:val="404040" w:themeColor="accent1" w:themeShade="95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sz w:val="22"/>
        <w:color w:val="404040" w:themeColor="accent1" w:themeShade="95"/>
      </w:rPr>
    </w:tblStylePr>
    <w:tblStylePr w:type="firstCol">
      <w:rPr>
        <w:color w:val="2a4b71" w:themeColor="accent1" w:themeShade="95"/>
        <w:b w:val="1"/>
      </w:rPr>
    </w:tblStylePr>
    <w:tblStylePr w:type="firstRow">
      <w:rPr>
        <w:color w:val="2a4b71" w:themeColor="accent1" w:themeShade="95"/>
        <w:b w:val="1"/>
      </w:rPr>
      <w:tcPr>
        <w:tcBorders>
          <w:bottom w:val="single" w:color="000000" w:themeColor="accent1" w:sz="4" w:space="0"/>
        </w:tcBorders>
      </w:tcPr>
    </w:tblStylePr>
    <w:tblStylePr w:type="lastCol">
      <w:rPr>
        <w:color w:val="2a4b71" w:themeColor="accent1" w:themeShade="95"/>
        <w:b w:val="1"/>
      </w:rPr>
    </w:tblStylePr>
    <w:tblStylePr w:type="lastRow">
      <w:rPr>
        <w:color w:val="2a4b71" w:themeColor="accent1" w:themeShade="95"/>
        <w:b w:val="1"/>
      </w:rPr>
      <w:tcPr>
        <w:tcBorders>
          <w:top w:val="single" w:color="000000" w:themeColor="accent1" w:sz="4" w:space="0"/>
        </w:tcBorders>
      </w:tcPr>
    </w:tblStylePr>
  </w:style>
  <w:style w:type="table" w:styleId="1058">
    <w:name w:val="List Table 6 Colorful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9c3a37" w:themeColor="accent2" w:themeTint="97" w:themeShade="95"/>
        <w:b w:val="1"/>
      </w:rPr>
    </w:tblStylePr>
    <w:tblStylePr w:type="firstRow">
      <w:rPr>
        <w:color w:val="9c3a37" w:themeColor="accent2" w:themeTint="97" w:themeShade="95"/>
        <w:b w:val="1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color w:val="9c3a37" w:themeColor="accent2" w:themeTint="97" w:themeShade="95"/>
        <w:b w:val="1"/>
      </w:rPr>
    </w:tblStylePr>
    <w:tblStylePr w:type="lastRow">
      <w:rPr>
        <w:color w:val="9c3a37" w:themeColor="accent2" w:themeTint="97" w:themeShade="95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1059">
    <w:name w:val="List Table 6 Colorful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 w:themeColor="accent3" w:themeTint="98" w:themeShade="95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sz w:val="22"/>
        <w:color w:val="404040" w:themeColor="accent3" w:themeTint="98" w:themeShade="95"/>
      </w:rPr>
    </w:tblStylePr>
    <w:tblStylePr w:type="firstCol">
      <w:rPr>
        <w:color w:val="7c983f" w:themeColor="accent3" w:themeTint="98" w:themeShade="95"/>
        <w:b w:val="1"/>
      </w:rPr>
    </w:tblStylePr>
    <w:tblStylePr w:type="firstRow">
      <w:rPr>
        <w:color w:val="7c983f" w:themeColor="accent3" w:themeTint="98" w:themeShade="95"/>
        <w:b w:val="1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color w:val="7c983f" w:themeColor="accent3" w:themeTint="98" w:themeShade="95"/>
        <w:b w:val="1"/>
      </w:rPr>
    </w:tblStylePr>
    <w:tblStylePr w:type="lastRow">
      <w:rPr>
        <w:color w:val="7c983f" w:themeColor="accent3" w:themeTint="98" w:themeShade="95"/>
        <w:b w:val="1"/>
      </w:rPr>
      <w:tcPr>
        <w:tcBorders>
          <w:top w:val="single" w:color="000000" w:themeColor="accent3" w:themeTint="98" w:sz="4" w:space="0"/>
        </w:tcBorders>
      </w:tcPr>
    </w:tblStylePr>
  </w:style>
  <w:style w:type="table" w:styleId="1060">
    <w:name w:val="List Table 6 Colorful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664f82" w:themeColor="accent4" w:themeTint="9A" w:themeShade="95"/>
        <w:b w:val="1"/>
      </w:rPr>
    </w:tblStylePr>
    <w:tblStylePr w:type="firstRow">
      <w:rPr>
        <w:color w:val="664f82" w:themeColor="accent4" w:themeTint="9A" w:themeShade="95"/>
        <w:b w:val="1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color w:val="664f82" w:themeColor="accent4" w:themeTint="9A" w:themeShade="95"/>
        <w:b w:val="1"/>
      </w:rPr>
    </w:tblStylePr>
    <w:tblStylePr w:type="lastRow">
      <w:rPr>
        <w:color w:val="664f82" w:themeColor="accent4" w:themeTint="9A" w:themeShade="95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1061">
    <w:name w:val="List Table 6 Colorful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 w:themeColor="accent5" w:themeTint="9A" w:themeShade="95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sz w:val="22"/>
        <w:color w:val="404040" w:themeColor="accent5" w:themeTint="9A" w:themeShade="95"/>
      </w:rPr>
    </w:tblStylePr>
    <w:tblStylePr w:type="firstCol">
      <w:rPr>
        <w:color w:val="338aa0" w:themeColor="accent5" w:themeTint="9A" w:themeShade="95"/>
        <w:b w:val="1"/>
      </w:rPr>
    </w:tblStylePr>
    <w:tblStylePr w:type="firstRow">
      <w:rPr>
        <w:color w:val="338aa0" w:themeColor="accent5" w:themeTint="9A" w:themeShade="95"/>
        <w:b w:val="1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color w:val="338aa0" w:themeColor="accent5" w:themeTint="9A" w:themeShade="95"/>
        <w:b w:val="1"/>
      </w:rPr>
    </w:tblStylePr>
    <w:tblStylePr w:type="lastRow">
      <w:rPr>
        <w:color w:val="338aa0" w:themeColor="accent5" w:themeTint="9A" w:themeShade="95"/>
        <w:b w:val="1"/>
      </w:rPr>
      <w:tcPr>
        <w:tcBorders>
          <w:top w:val="single" w:color="000000" w:themeColor="accent5" w:themeTint="9A" w:sz="4" w:space="0"/>
        </w:tcBorders>
      </w:tcPr>
    </w:tblStylePr>
  </w:style>
  <w:style w:type="table" w:styleId="1062">
    <w:name w:val="List Table 6 Colorful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 w:themeColor="accent6" w:themeTint="98" w:themeShade="95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sz w:val="22"/>
        <w:color w:val="404040" w:themeColor="accent6" w:themeTint="98" w:themeShade="95"/>
      </w:rPr>
    </w:tblStylePr>
    <w:tblStylePr w:type="firstCol">
      <w:rPr>
        <w:color w:val="d9680c" w:themeColor="accent6" w:themeTint="98" w:themeShade="95"/>
        <w:b w:val="1"/>
      </w:rPr>
    </w:tblStylePr>
    <w:tblStylePr w:type="firstRow">
      <w:rPr>
        <w:color w:val="d9680c" w:themeColor="accent6" w:themeTint="98" w:themeShade="95"/>
        <w:b w:val="1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color w:val="d9680c" w:themeColor="accent6" w:themeTint="98" w:themeShade="95"/>
        <w:b w:val="1"/>
      </w:rPr>
    </w:tblStylePr>
    <w:tblStylePr w:type="lastRow">
      <w:rPr>
        <w:color w:val="d9680c" w:themeColor="accent6" w:themeTint="98" w:themeShade="95"/>
        <w:b w:val="1"/>
      </w:rPr>
      <w:tcPr>
        <w:tcBorders>
          <w:top w:val="single" w:color="000000" w:themeColor="accent6" w:themeTint="98" w:sz="4" w:space="0"/>
        </w:tcBorders>
      </w:tcPr>
    </w:tblStylePr>
  </w:style>
  <w:style w:type="table" w:styleId="1063">
    <w:name w:val="List Table 7 Colorful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single" w:color="000000" w:themeColor="text1" w:themeTint="8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single" w:color="000000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4a4a4a" w:themeColor="text1" w:themeTint="80" w:themeShade="95"/>
      </w:rPr>
    </w:tblStylePr>
  </w:style>
  <w:style w:type="table" w:styleId="1064">
    <w:name w:val="List Table 7 Colorful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2a4b71" w:themeColor="accent1" w:themeShade="95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sz w:val="22"/>
        <w:color w:val="2a4b71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a4b71" w:themeColor="accent1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a4b71" w:themeColor="accent1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a4b71" w:themeColor="accent1" w:themeShade="95"/>
        <w:i w:val="1"/>
      </w:rPr>
      <w:tcPr>
        <w:tcBorders>
          <w:top w:val="none" w:color="000000" w:sz="4" w:space="0"/>
          <w:start w:val="single" w:color="000000" w:themeColor="accent1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2a4b71" w:themeColor="accent1" w:themeShade="95"/>
        <w:i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2a4b71" w:themeColor="accent1" w:themeShade="95"/>
      </w:rPr>
    </w:tblStylePr>
  </w:style>
  <w:style w:type="table" w:styleId="1065">
    <w:name w:val="List Table 7 Colorful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9c3a37" w:themeColor="accent2" w:themeTint="97" w:themeShade="95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sz w:val="22"/>
        <w:color w:val="9c3a37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color="000000" w:sz="4" w:space="0"/>
          <w:start w:val="single" w:color="000000" w:themeColor="accent2" w:themeTint="97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9c3a37" w:themeColor="accent2" w:themeTint="97" w:themeShade="95"/>
      </w:rPr>
    </w:tblStylePr>
  </w:style>
  <w:style w:type="table" w:styleId="1066">
    <w:name w:val="List Table 7 Colorful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7c983f" w:themeColor="accent3" w:themeTint="98" w:themeShade="95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sz w:val="22"/>
        <w:color w:val="7c983f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none" w:color="000000" w:sz="4" w:space="0"/>
          <w:start w:val="single" w:color="000000" w:themeColor="accent3" w:themeTint="98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single" w:color="000000" w:themeColor="accent3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7c983f" w:themeColor="accent3" w:themeTint="98" w:themeShade="95"/>
      </w:rPr>
    </w:tblStylePr>
  </w:style>
  <w:style w:type="table" w:styleId="1067">
    <w:name w:val="List Table 7 Colorful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664f82" w:themeColor="accent4" w:themeTint="9A" w:themeShade="95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sz w:val="22"/>
        <w:color w:val="664f82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color="000000" w:sz="4" w:space="0"/>
          <w:start w:val="single" w:color="000000" w:themeColor="accent4" w:themeTint="9A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664f82" w:themeColor="accent4" w:themeTint="9A" w:themeShade="95"/>
      </w:rPr>
    </w:tblStylePr>
  </w:style>
  <w:style w:type="table" w:styleId="1068">
    <w:name w:val="List Table 7 Colorful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338aa0" w:themeColor="accent5" w:themeTint="9A" w:themeShade="95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sz w:val="22"/>
        <w:color w:val="338aa0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none" w:color="000000" w:sz="4" w:space="0"/>
          <w:start w:val="single" w:color="000000" w:themeColor="accent5" w:themeTint="9A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single" w:color="000000" w:themeColor="accent5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338aa0" w:themeColor="accent5" w:themeTint="9A" w:themeShade="95"/>
      </w:rPr>
    </w:tblStylePr>
  </w:style>
  <w:style w:type="table" w:styleId="1069">
    <w:name w:val="List Table 7 Colorful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d9680c" w:themeColor="accent6" w:themeTint="98" w:themeShade="95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sz w:val="22"/>
        <w:color w:val="d9680c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none" w:color="000000" w:sz="4" w:space="0"/>
          <w:start w:val="single" w:color="000000" w:themeColor="accent6" w:themeTint="98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single" w:color="000000" w:themeColor="accent6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d9680c" w:themeColor="accent6" w:themeTint="98" w:themeShade="95"/>
      </w:rPr>
    </w:tblStylePr>
  </w:style>
  <w:style w:type="table" w:styleId="1070">
    <w:name w:val="Lined - Accent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1071">
    <w:name w:val="Lined - Accent 1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</w:style>
  <w:style w:type="table" w:styleId="1072">
    <w:name w:val="Lined - Accent 2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</w:style>
  <w:style w:type="table" w:styleId="1073">
    <w:name w:val="Lined - Accent 3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</w:style>
  <w:style w:type="table" w:styleId="1074">
    <w:name w:val="Lined - Accent 4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</w:style>
  <w:style w:type="table" w:styleId="1075">
    <w:name w:val="Lined - Accent 5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</w:style>
  <w:style w:type="table" w:styleId="1076">
    <w:name w:val="Lined - Accent 6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</w:style>
  <w:style w:type="table" w:styleId="1077">
    <w:name w:val="Bordered &amp;amp; Lined - Accent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1078">
    <w:name w:val="Bordered &amp;amp; Lined - Accent 1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</w:style>
  <w:style w:type="table" w:styleId="1079">
    <w:name w:val="Bordered &amp;amp; Lined - Accent 2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</w:style>
  <w:style w:type="table" w:styleId="1080">
    <w:name w:val="Bordered &amp;amp; Lined - Accent 3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</w:style>
  <w:style w:type="table" w:styleId="1081">
    <w:name w:val="Bordered &amp;amp; Lined - Accent 4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</w:style>
  <w:style w:type="table" w:styleId="1082">
    <w:name w:val="Bordered &amp;amp; Lined - Accent 5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</w:style>
  <w:style w:type="table" w:styleId="1083">
    <w:name w:val="Bordered &amp;amp; Lined - Accent 6"/>
    <w:basedOn w:val="11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</w:style>
  <w:style w:type="table" w:styleId="1084">
    <w:name w:val="Bordered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26" w:sz="4" w:space="0"/>
          <w:start w:val="single" w:color="000000" w:themeColor="text1" w:themeTint="26" w:sz="4" w:space="0"/>
          <w:bottom w:val="single" w:color="000000" w:themeColor="text1" w:themeTint="26" w:sz="4" w:space="0"/>
          <w:end w:val="single" w:color="000000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text1" w:themeTint="80" w:sz="12" w:space="0"/>
        </w:tcBorders>
      </w:tcPr>
    </w:tblStylePr>
  </w:style>
  <w:style w:type="table" w:styleId="1085">
    <w:name w:val="Bordered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1" w:sz="12" w:space="0"/>
        </w:tcBorders>
      </w:tcPr>
    </w:tblStylePr>
  </w:style>
  <w:style w:type="table" w:styleId="1086">
    <w:name w:val="Bordered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87">
    <w:name w:val="Bordered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88">
    <w:name w:val="Bordered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89">
    <w:name w:val="Bordered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90">
    <w:name w:val="Bordered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91">
    <w:name w:val="Footnote Text Char"/>
    <w:link w:val="1130"/>
    <w:uiPriority w:val="99"/>
    <w:rPr>
      <w:sz w:val="18"/>
    </w:rPr>
  </w:style>
  <w:style w:type="paragraph" w:styleId="1092">
    <w:name w:val="endnote text"/>
    <w:basedOn w:val="1106"/>
    <w:link w:val="1093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1093">
    <w:name w:val="Endnote Text Char"/>
    <w:link w:val="1092"/>
    <w:uiPriority w:val="99"/>
    <w:rPr>
      <w:sz w:val="20"/>
    </w:rPr>
  </w:style>
  <w:style w:type="character" w:styleId="1094">
    <w:name w:val="endnote reference"/>
    <w:basedOn w:val="1113"/>
    <w:uiPriority w:val="99"/>
    <w:semiHidden w:val="1"/>
    <w:unhideWhenUsed w:val="1"/>
    <w:rPr>
      <w:vertAlign w:val="superscript"/>
    </w:rPr>
  </w:style>
  <w:style w:type="paragraph" w:styleId="1095">
    <w:name w:val="toc 1"/>
    <w:basedOn w:val="1106"/>
    <w:next w:val="1106"/>
    <w:uiPriority w:val="39"/>
    <w:unhideWhenUsed w:val="1"/>
    <w:pPr>
      <w:spacing w:after="57"/>
      <w:ind w:start="0" w:end="0" w:firstLine="0"/>
    </w:pPr>
  </w:style>
  <w:style w:type="paragraph" w:styleId="1096">
    <w:name w:val="toc 2"/>
    <w:basedOn w:val="1106"/>
    <w:next w:val="1106"/>
    <w:uiPriority w:val="39"/>
    <w:unhideWhenUsed w:val="1"/>
    <w:pPr>
      <w:spacing w:after="57"/>
      <w:ind w:start="283" w:end="0" w:firstLine="0"/>
    </w:pPr>
  </w:style>
  <w:style w:type="paragraph" w:styleId="1097">
    <w:name w:val="toc 3"/>
    <w:basedOn w:val="1106"/>
    <w:next w:val="1106"/>
    <w:uiPriority w:val="39"/>
    <w:unhideWhenUsed w:val="1"/>
    <w:pPr>
      <w:spacing w:after="57"/>
      <w:ind w:start="567" w:end="0" w:firstLine="0"/>
    </w:pPr>
  </w:style>
  <w:style w:type="paragraph" w:styleId="1098">
    <w:name w:val="toc 4"/>
    <w:basedOn w:val="1106"/>
    <w:next w:val="1106"/>
    <w:uiPriority w:val="39"/>
    <w:unhideWhenUsed w:val="1"/>
    <w:pPr>
      <w:spacing w:after="57"/>
      <w:ind w:start="850" w:end="0" w:firstLine="0"/>
    </w:pPr>
  </w:style>
  <w:style w:type="paragraph" w:styleId="1099">
    <w:name w:val="toc 5"/>
    <w:basedOn w:val="1106"/>
    <w:next w:val="1106"/>
    <w:uiPriority w:val="39"/>
    <w:unhideWhenUsed w:val="1"/>
    <w:pPr>
      <w:spacing w:after="57"/>
      <w:ind w:start="1134" w:end="0" w:firstLine="0"/>
    </w:pPr>
  </w:style>
  <w:style w:type="paragraph" w:styleId="1100">
    <w:name w:val="toc 6"/>
    <w:basedOn w:val="1106"/>
    <w:next w:val="1106"/>
    <w:uiPriority w:val="39"/>
    <w:unhideWhenUsed w:val="1"/>
    <w:pPr>
      <w:spacing w:after="57"/>
      <w:ind w:start="1417" w:end="0" w:firstLine="0"/>
    </w:pPr>
  </w:style>
  <w:style w:type="paragraph" w:styleId="1101">
    <w:name w:val="toc 7"/>
    <w:basedOn w:val="1106"/>
    <w:next w:val="1106"/>
    <w:uiPriority w:val="39"/>
    <w:unhideWhenUsed w:val="1"/>
    <w:pPr>
      <w:spacing w:after="57"/>
      <w:ind w:start="1701" w:end="0" w:firstLine="0"/>
    </w:pPr>
  </w:style>
  <w:style w:type="paragraph" w:styleId="1102">
    <w:name w:val="toc 8"/>
    <w:basedOn w:val="1106"/>
    <w:next w:val="1106"/>
    <w:uiPriority w:val="39"/>
    <w:unhideWhenUsed w:val="1"/>
    <w:pPr>
      <w:spacing w:after="57"/>
      <w:ind w:start="1984" w:end="0" w:firstLine="0"/>
    </w:pPr>
  </w:style>
  <w:style w:type="paragraph" w:styleId="1103">
    <w:name w:val="toc 9"/>
    <w:basedOn w:val="1106"/>
    <w:next w:val="1106"/>
    <w:uiPriority w:val="39"/>
    <w:unhideWhenUsed w:val="1"/>
    <w:pPr>
      <w:spacing w:after="57"/>
      <w:ind w:start="2268" w:end="0" w:firstLine="0"/>
    </w:pPr>
  </w:style>
  <w:style w:type="paragraph" w:styleId="1104">
    <w:name w:val="TOC Heading"/>
    <w:uiPriority w:val="39"/>
    <w:unhideWhenUsed w:val="1"/>
  </w:style>
  <w:style w:type="paragraph" w:styleId="1105">
    <w:name w:val="table of figures"/>
    <w:basedOn w:val="1106"/>
    <w:next w:val="1106"/>
    <w:uiPriority w:val="99"/>
    <w:unhideWhenUsed w:val="1"/>
    <w:pPr>
      <w:spacing w:after="0" w:afterAutospacing="0"/>
    </w:pPr>
  </w:style>
  <w:style w:type="paragraph" w:styleId="1106" w:default="1">
    <w:name w:val="Normal"/>
    <w:qFormat w:val="1"/>
  </w:style>
  <w:style w:type="paragraph" w:styleId="1107">
    <w:name w:val="Heading 1"/>
    <w:basedOn w:val="1106"/>
    <w:next w:val="1106"/>
    <w:uiPriority w:val="9"/>
    <w:qFormat w:val="1"/>
    <w:pPr>
      <w:keepNext w:val="1"/>
      <w:keepLines w:val="1"/>
      <w:spacing w:before="400" w:after="120"/>
      <w:outlineLvl w:val="0"/>
    </w:pPr>
    <w:rPr>
      <w:sz w:val="40"/>
      <w:szCs w:val="40"/>
    </w:rPr>
  </w:style>
  <w:style w:type="paragraph" w:styleId="1108">
    <w:name w:val="Heading 2"/>
    <w:basedOn w:val="1106"/>
    <w:next w:val="1106"/>
    <w:uiPriority w:val="9"/>
    <w:semiHidden w:val="1"/>
    <w:unhideWhenUsed w:val="1"/>
    <w:qFormat w:val="1"/>
    <w:pPr>
      <w:keepNext w:val="1"/>
      <w:keepLines w:val="1"/>
      <w:spacing w:before="360" w:after="120"/>
      <w:outlineLvl w:val="1"/>
    </w:pPr>
    <w:rPr>
      <w:sz w:val="32"/>
      <w:szCs w:val="32"/>
    </w:rPr>
  </w:style>
  <w:style w:type="paragraph" w:styleId="1109">
    <w:name w:val="Heading 3"/>
    <w:basedOn w:val="1106"/>
    <w:next w:val="1106"/>
    <w:uiPriority w:val="9"/>
    <w:semiHidden w:val="1"/>
    <w:unhideWhenUsed w:val="1"/>
    <w:qFormat w:val="1"/>
    <w:pPr>
      <w:keepNext w:val="1"/>
      <w:keepLines w:val="1"/>
      <w:spacing w:before="320" w:after="80"/>
      <w:outlineLvl w:val="2"/>
    </w:pPr>
    <w:rPr>
      <w:sz w:val="28"/>
      <w:color w:val="434343"/>
      <w:szCs w:val="28"/>
    </w:rPr>
  </w:style>
  <w:style w:type="paragraph" w:styleId="1110">
    <w:name w:val="Heading 4"/>
    <w:basedOn w:val="1106"/>
    <w:next w:val="1106"/>
    <w:uiPriority w:val="9"/>
    <w:semiHidden w:val="1"/>
    <w:unhideWhenUsed w:val="1"/>
    <w:qFormat w:val="1"/>
    <w:pPr>
      <w:keepNext w:val="1"/>
      <w:keepLines w:val="1"/>
      <w:spacing w:before="280" w:after="80"/>
      <w:outlineLvl w:val="3"/>
    </w:pPr>
    <w:rPr>
      <w:sz w:val="24"/>
      <w:color w:val="666666"/>
      <w:szCs w:val="24"/>
    </w:rPr>
  </w:style>
  <w:style w:type="paragraph" w:styleId="1111">
    <w:name w:val="Heading 5"/>
    <w:basedOn w:val="1106"/>
    <w:next w:val="1106"/>
    <w:uiPriority w:val="9"/>
    <w:semiHidden w:val="1"/>
    <w:unhideWhenUsed w:val="1"/>
    <w:qFormat w:val="1"/>
    <w:pPr>
      <w:keepNext w:val="1"/>
      <w:keepLines w:val="1"/>
      <w:spacing w:before="240" w:after="80"/>
      <w:outlineLvl w:val="4"/>
    </w:pPr>
    <w:rPr>
      <w:color w:val="666666"/>
    </w:rPr>
  </w:style>
  <w:style w:type="paragraph" w:styleId="1112">
    <w:name w:val="Heading 6"/>
    <w:basedOn w:val="1106"/>
    <w:next w:val="1106"/>
    <w:uiPriority w:val="9"/>
    <w:semiHidden w:val="1"/>
    <w:unhideWhenUsed w:val="1"/>
    <w:qFormat w:val="1"/>
    <w:pPr>
      <w:keepNext w:val="1"/>
      <w:keepLines w:val="1"/>
      <w:spacing w:before="240" w:after="80"/>
      <w:outlineLvl w:val="5"/>
    </w:pPr>
    <w:rPr>
      <w:color w:val="666666"/>
      <w:i w:val="1"/>
      <w:iCs w:val="1"/>
    </w:rPr>
  </w:style>
  <w:style w:type="character" w:styleId="1113" w:default="1">
    <w:name w:val="Default Paragraph Font"/>
    <w:uiPriority w:val="1"/>
    <w:semiHidden w:val="1"/>
    <w:unhideWhenUsed w:val="1"/>
  </w:style>
  <w:style w:type="table" w:styleId="1114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1115" w:default="1">
    <w:name w:val="No List"/>
    <w:uiPriority w:val="99"/>
    <w:semiHidden w:val="1"/>
    <w:unhideWhenUsed w:val="1"/>
  </w:style>
  <w:style w:type="table" w:styleId="1116" w:customStyle="1">
    <w:name w:val="TableNormal"/>
    <w:tblPr>
      <w:tblCellMar>
        <w:top w:w="100" w:type="dxa"/>
        <w:start w:w="100" w:type="dxa"/>
        <w:bottom w:w="100" w:type="dxa"/>
        <w:end w:w="100" w:type="dxa"/>
      </w:tblCellMar>
    </w:tblPr>
  </w:style>
  <w:style w:type="paragraph" w:styleId="1117">
    <w:name w:val="Title"/>
    <w:basedOn w:val="1106"/>
    <w:next w:val="1106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1118" w:customStyle="1">
    <w:name w:val="Table Normal"/>
    <w:tblPr>
      <w:tblCellMar>
        <w:top w:w="0" w:type="dxa"/>
        <w:start w:w="0" w:type="dxa"/>
        <w:bottom w:w="0" w:type="dxa"/>
        <w:end w:w="0" w:type="dxa"/>
      </w:tblCellMar>
    </w:tblPr>
  </w:style>
  <w:style w:type="table" w:styleId="1119" w:customStyle="1">
    <w:name w:val="Table Normal1"/>
    <w:tblPr>
      <w:tblCellMar>
        <w:top w:w="0" w:type="dxa"/>
        <w:start w:w="0" w:type="dxa"/>
        <w:bottom w:w="0" w:type="dxa"/>
        <w:end w:w="0" w:type="dxa"/>
      </w:tblCellMar>
    </w:tblPr>
  </w:style>
  <w:style w:type="character" w:styleId="1120">
    <w:name w:val="annotation reference"/>
    <w:basedOn w:val="1113"/>
    <w:uiPriority w:val="99"/>
    <w:semiHidden w:val="1"/>
    <w:unhideWhenUsed w:val="1"/>
    <w:rPr>
      <w:sz w:val="16"/>
      <w:szCs w:val="16"/>
    </w:rPr>
  </w:style>
  <w:style w:type="paragraph" w:styleId="1121">
    <w:name w:val="annotation text"/>
    <w:link w:val="1122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1122" w:customStyle="1">
    <w:name w:val="Текст примечания Знак"/>
    <w:basedOn w:val="1113"/>
    <w:link w:val="1121"/>
    <w:uiPriority w:val="99"/>
    <w:semiHidden w:val="1"/>
    <w:rPr>
      <w:sz w:val="20"/>
      <w:szCs w:val="20"/>
    </w:rPr>
  </w:style>
  <w:style w:type="paragraph" w:styleId="1123">
    <w:name w:val="annotation subject"/>
    <w:basedOn w:val="1121"/>
    <w:next w:val="1121"/>
    <w:link w:val="1124"/>
    <w:uiPriority w:val="99"/>
    <w:semiHidden w:val="1"/>
    <w:unhideWhenUsed w:val="1"/>
    <w:rPr>
      <w:b w:val="1"/>
      <w:bCs w:val="1"/>
    </w:rPr>
  </w:style>
  <w:style w:type="character" w:styleId="1124" w:customStyle="1">
    <w:name w:val="Тема примечания Знак"/>
    <w:basedOn w:val="1122"/>
    <w:link w:val="1123"/>
    <w:uiPriority w:val="99"/>
    <w:semiHidden w:val="1"/>
    <w:rPr>
      <w:sz w:val="20"/>
      <w:b w:val="1"/>
      <w:bCs w:val="1"/>
      <w:szCs w:val="20"/>
    </w:rPr>
  </w:style>
  <w:style w:type="paragraph" w:styleId="1125">
    <w:name w:val="Header"/>
    <w:link w:val="1126"/>
    <w:uiPriority w:val="99"/>
    <w:unhideWhenUsed w:val="1"/>
    <w:pPr>
      <w:tabs>
        <w:tab w:val="center" w:pos="4677" w:leader="none"/>
        <w:tab w:val="right" w:pos="9355" w:leader="none"/>
      </w:tabs>
      <w:spacing w:line="240" w:lineRule="auto"/>
    </w:pPr>
  </w:style>
  <w:style w:type="character" w:styleId="1126" w:customStyle="1">
    <w:name w:val="Верхний колонтитул Знак"/>
    <w:basedOn w:val="1113"/>
    <w:link w:val="1125"/>
    <w:uiPriority w:val="99"/>
  </w:style>
  <w:style w:type="paragraph" w:styleId="1127">
    <w:name w:val="Footer"/>
    <w:link w:val="1128"/>
    <w:uiPriority w:val="99"/>
    <w:unhideWhenUsed w:val="1"/>
    <w:pPr>
      <w:tabs>
        <w:tab w:val="center" w:pos="4677" w:leader="none"/>
        <w:tab w:val="right" w:pos="9355" w:leader="none"/>
      </w:tabs>
      <w:spacing w:line="240" w:lineRule="auto"/>
    </w:pPr>
  </w:style>
  <w:style w:type="character" w:styleId="1128" w:customStyle="1">
    <w:name w:val="Нижний колонтитул Знак"/>
    <w:basedOn w:val="1113"/>
    <w:link w:val="1127"/>
    <w:uiPriority w:val="99"/>
  </w:style>
  <w:style w:type="paragraph" w:styleId="1129">
    <w:name w:val="List Paragraph"/>
    <w:uiPriority w:val="34"/>
    <w:qFormat w:val="1"/>
    <w:pPr>
      <w:ind w:start="720"/>
      <w:contextualSpacing w:val="1"/>
    </w:pPr>
  </w:style>
  <w:style w:type="paragraph" w:styleId="1130">
    <w:name w:val="footnote text"/>
    <w:link w:val="1131"/>
    <w:uiPriority w:val="99"/>
    <w:unhideWhenUsed w:val="1"/>
    <w:pPr>
      <w:spacing w:line="240" w:lineRule="auto"/>
    </w:pPr>
    <w:rPr>
      <w:rFonts w:asciiTheme="minorHAnsi" w:hAnsiTheme="minorHAnsi" w:eastAsiaTheme="minorHAnsi" w:cstheme="minorBidi"/>
      <w:sz w:val="20"/>
      <w:lang w:val="ru-RU"/>
      <w:szCs w:val="20"/>
    </w:rPr>
  </w:style>
  <w:style w:type="character" w:styleId="1131" w:customStyle="1">
    <w:name w:val="Текст сноски Знак"/>
    <w:basedOn w:val="1113"/>
    <w:link w:val="1130"/>
    <w:uiPriority w:val="99"/>
    <w:rPr>
      <w:rFonts w:asciiTheme="minorHAnsi" w:hAnsiTheme="minorHAnsi" w:eastAsiaTheme="minorHAnsi" w:cstheme="minorBidi"/>
      <w:sz w:val="20"/>
      <w:lang w:val="ru-RU"/>
      <w:szCs w:val="20"/>
    </w:rPr>
  </w:style>
  <w:style w:type="character" w:styleId="1132">
    <w:name w:val="footnote reference"/>
    <w:basedOn w:val="1113"/>
    <w:uiPriority w:val="99"/>
    <w:unhideWhenUsed w:val="1"/>
    <w:rPr>
      <w:vertAlign w:val="superscript"/>
    </w:rPr>
  </w:style>
  <w:style w:type="character" w:styleId="1133">
    <w:name w:val="Hyperlink"/>
    <w:basedOn w:val="1113"/>
    <w:uiPriority w:val="99"/>
    <w:unhideWhenUsed w:val="1"/>
    <w:rPr>
      <w:color w:val="0000ff" w:themeColor="hyperlink"/>
      <w:u w:val="single"/>
    </w:rPr>
  </w:style>
  <w:style w:type="character" w:styleId="1134">
    <w:name w:val="Unresolved Mention"/>
    <w:basedOn w:val="1113"/>
    <w:uiPriority w:val="99"/>
    <w:semiHidden w:val="1"/>
    <w:unhideWhenUsed w:val="1"/>
    <w:rPr>
      <w:color w:val="605e5c"/>
      <w:shd w:val="clear" w:color="auto" w:fill="e1dfdd"/>
    </w:rPr>
  </w:style>
  <w:style w:type="table" w:styleId="1135">
    <w:name w:val="Table Grid"/>
    <w:basedOn w:val="1114"/>
    <w:uiPriority w:val="3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36">
    <w:name w:val="Subtitle"/>
    <w:basedOn w:val="1106"/>
    <w:next w:val="1106"/>
    <w:uiPriority w:val="11"/>
    <w:qFormat w:val="1"/>
    <w:pPr>
      <w:keepNext w:val="1"/>
      <w:keepLines w:val="1"/>
      <w:spacing w:after="320"/>
    </w:pPr>
    <w:rPr>
      <w:sz w:val="30"/>
      <w:color w:val="666666"/>
      <w:szCs w:val="30"/>
    </w:rPr>
  </w:style>
  <w:style w:type="character" w:styleId="943">
    <w:name w:val="Heading 1 Char"/>
    <w:basedOn w:val="1113"/>
    <w:link w:val="1107"/>
    <w:uiPriority w:val="9"/>
    <w:rPr>
      <w:rFonts w:ascii="Arial" w:hAnsi="Arial" w:eastAsia="Arial" w:cs="Arial"/>
      <w:sz w:val="40"/>
      <w:szCs w:val="40"/>
    </w:rPr>
  </w:style>
  <w:style w:type="character" w:styleId="944">
    <w:name w:val="Heading 2 Char"/>
    <w:basedOn w:val="1113"/>
    <w:link w:val="1108"/>
    <w:uiPriority w:val="9"/>
    <w:rPr>
      <w:rFonts w:ascii="Arial" w:hAnsi="Arial" w:eastAsia="Arial" w:cs="Arial"/>
      <w:sz w:val="34"/>
    </w:rPr>
  </w:style>
  <w:style w:type="character" w:styleId="945">
    <w:name w:val="Heading 3 Char"/>
    <w:basedOn w:val="1113"/>
    <w:link w:val="1109"/>
    <w:uiPriority w:val="9"/>
    <w:rPr>
      <w:rFonts w:ascii="Arial" w:hAnsi="Arial" w:eastAsia="Arial" w:cs="Arial"/>
      <w:sz w:val="30"/>
      <w:szCs w:val="30"/>
    </w:rPr>
  </w:style>
  <w:style w:type="character" w:styleId="946">
    <w:name w:val="Heading 4 Char"/>
    <w:basedOn w:val="1113"/>
    <w:link w:val="1110"/>
    <w:uiPriority w:val="9"/>
    <w:rPr>
      <w:rFonts w:ascii="Arial" w:hAnsi="Arial" w:eastAsia="Arial" w:cs="Arial"/>
      <w:sz w:val="26"/>
      <w:b w:val="1"/>
      <w:bCs w:val="1"/>
      <w:szCs w:val="26"/>
    </w:rPr>
  </w:style>
  <w:style w:type="character" w:styleId="947">
    <w:name w:val="Heading 5 Char"/>
    <w:basedOn w:val="1113"/>
    <w:link w:val="1111"/>
    <w:uiPriority w:val="9"/>
    <w:rPr>
      <w:rFonts w:ascii="Arial" w:hAnsi="Arial" w:eastAsia="Arial" w:cs="Arial"/>
      <w:sz w:val="24"/>
      <w:b w:val="1"/>
      <w:bCs w:val="1"/>
      <w:szCs w:val="24"/>
    </w:rPr>
  </w:style>
  <w:style w:type="character" w:styleId="948">
    <w:name w:val="Heading 6 Char"/>
    <w:basedOn w:val="1113"/>
    <w:link w:val="1112"/>
    <w:uiPriority w:val="9"/>
    <w:rPr>
      <w:rFonts w:ascii="Arial" w:hAnsi="Arial" w:eastAsia="Arial" w:cs="Arial"/>
      <w:sz w:val="22"/>
      <w:b w:val="1"/>
      <w:bCs w:val="1"/>
      <w:szCs w:val="22"/>
    </w:rPr>
  </w:style>
  <w:style w:type="paragraph" w:styleId="949">
    <w:name w:val="Heading 7"/>
    <w:basedOn w:val="1106"/>
    <w:next w:val="1106"/>
    <w:link w:val="950"/>
    <w:uiPriority w:val="9"/>
    <w:unhideWhenUsed w:val="1"/>
    <w:qFormat w:val="1"/>
    <w:pPr>
      <w:keepNext w:val="1"/>
      <w:keepLines w:val="1"/>
      <w:spacing w:before="320" w:after="200"/>
      <w:outlineLvl w:val="6"/>
    </w:pPr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character" w:styleId="950">
    <w:name w:val="Heading 7 Char"/>
    <w:basedOn w:val="1113"/>
    <w:link w:val="949"/>
    <w:uiPriority w:val="9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paragraph" w:styleId="951">
    <w:name w:val="Heading 8"/>
    <w:basedOn w:val="1106"/>
    <w:next w:val="1106"/>
    <w:link w:val="952"/>
    <w:uiPriority w:val="9"/>
    <w:unhideWhenUsed w:val="1"/>
    <w:qFormat w:val="1"/>
    <w:pPr>
      <w:keepNext w:val="1"/>
      <w:keepLines w:val="1"/>
      <w:spacing w:before="320" w:after="200"/>
      <w:outlineLvl w:val="7"/>
    </w:pPr>
    <w:rPr>
      <w:rFonts w:ascii="Arial" w:hAnsi="Arial" w:eastAsia="Arial" w:cs="Arial"/>
      <w:sz w:val="22"/>
      <w:i w:val="1"/>
      <w:iCs w:val="1"/>
      <w:szCs w:val="22"/>
    </w:rPr>
  </w:style>
  <w:style w:type="character" w:styleId="952">
    <w:name w:val="Heading 8 Char"/>
    <w:basedOn w:val="1113"/>
    <w:link w:val="951"/>
    <w:uiPriority w:val="9"/>
    <w:rPr>
      <w:rFonts w:ascii="Arial" w:hAnsi="Arial" w:eastAsia="Arial" w:cs="Arial"/>
      <w:sz w:val="22"/>
      <w:i w:val="1"/>
      <w:iCs w:val="1"/>
      <w:szCs w:val="22"/>
    </w:rPr>
  </w:style>
  <w:style w:type="paragraph" w:styleId="953">
    <w:name w:val="Heading 9"/>
    <w:basedOn w:val="1106"/>
    <w:next w:val="1106"/>
    <w:link w:val="954"/>
    <w:uiPriority w:val="9"/>
    <w:unhideWhenUsed w:val="1"/>
    <w:qFormat w:val="1"/>
    <w:pPr>
      <w:keepNext w:val="1"/>
      <w:keepLines w:val="1"/>
      <w:spacing w:before="320" w:after="200"/>
      <w:outlineLvl w:val="8"/>
    </w:pPr>
    <w:rPr>
      <w:rFonts w:ascii="Arial" w:hAnsi="Arial" w:eastAsia="Arial" w:cs="Arial"/>
      <w:sz w:val="21"/>
      <w:i w:val="1"/>
      <w:iCs w:val="1"/>
      <w:szCs w:val="21"/>
    </w:rPr>
  </w:style>
  <w:style w:type="character" w:styleId="954">
    <w:name w:val="Heading 9 Char"/>
    <w:basedOn w:val="1113"/>
    <w:link w:val="953"/>
    <w:uiPriority w:val="9"/>
    <w:rPr>
      <w:rFonts w:ascii="Arial" w:hAnsi="Arial" w:eastAsia="Arial" w:cs="Arial"/>
      <w:sz w:val="21"/>
      <w:i w:val="1"/>
      <w:iCs w:val="1"/>
      <w:szCs w:val="21"/>
    </w:rPr>
  </w:style>
  <w:style w:type="paragraph" w:styleId="955">
    <w:name w:val="No Spacing"/>
    <w:uiPriority w:val="1"/>
    <w:qFormat w:val="1"/>
    <w:pPr>
      <w:spacing w:before="0" w:after="0" w:line="240" w:lineRule="auto"/>
    </w:pPr>
  </w:style>
  <w:style w:type="character" w:styleId="956">
    <w:name w:val="Title Char"/>
    <w:basedOn w:val="1113"/>
    <w:link w:val="1117"/>
    <w:uiPriority w:val="10"/>
    <w:rPr>
      <w:sz w:val="48"/>
      <w:szCs w:val="48"/>
    </w:rPr>
  </w:style>
  <w:style w:type="character" w:styleId="957">
    <w:name w:val="Subtitle Char"/>
    <w:basedOn w:val="1113"/>
    <w:link w:val="1136"/>
    <w:uiPriority w:val="11"/>
    <w:rPr>
      <w:sz w:val="24"/>
      <w:szCs w:val="24"/>
    </w:rPr>
  </w:style>
  <w:style w:type="paragraph" w:styleId="958">
    <w:name w:val="Quote"/>
    <w:basedOn w:val="1106"/>
    <w:next w:val="1106"/>
    <w:link w:val="959"/>
    <w:uiPriority w:val="29"/>
    <w:qFormat w:val="1"/>
    <w:pPr>
      <w:ind w:start="720" w:end="720"/>
    </w:pPr>
    <w:rPr>
      <w:i w:val="1"/>
    </w:rPr>
  </w:style>
  <w:style w:type="character" w:styleId="959">
    <w:name w:val="Quote Char"/>
    <w:link w:val="958"/>
    <w:uiPriority w:val="29"/>
    <w:rPr>
      <w:i w:val="1"/>
    </w:rPr>
  </w:style>
  <w:style w:type="paragraph" w:styleId="960">
    <w:name w:val="Intense Quote"/>
    <w:basedOn w:val="1106"/>
    <w:next w:val="1106"/>
    <w:link w:val="961"/>
    <w:uiPriority w:val="30"/>
    <w:qFormat w:val="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  <w:contextualSpacing w:val="0"/>
    </w:pPr>
    <w:rPr>
      <w:i w:val="1"/>
    </w:rPr>
  </w:style>
  <w:style w:type="character" w:styleId="961">
    <w:name w:val="Intense Quote Char"/>
    <w:link w:val="960"/>
    <w:uiPriority w:val="30"/>
    <w:rPr>
      <w:i w:val="1"/>
    </w:rPr>
  </w:style>
  <w:style w:type="character" w:styleId="962">
    <w:name w:val="Header Char"/>
    <w:basedOn w:val="1113"/>
    <w:link w:val="1125"/>
    <w:uiPriority w:val="99"/>
  </w:style>
  <w:style w:type="character" w:styleId="963">
    <w:name w:val="Footer Char"/>
    <w:basedOn w:val="1113"/>
    <w:link w:val="1127"/>
    <w:uiPriority w:val="99"/>
  </w:style>
  <w:style w:type="paragraph" w:styleId="964">
    <w:name w:val="Caption"/>
    <w:basedOn w:val="1106"/>
    <w:next w:val="1106"/>
    <w:uiPriority w:val="35"/>
    <w:semiHidden w:val="1"/>
    <w:unhideWhenUsed w:val="1"/>
    <w:qFormat w:val="1"/>
    <w:pPr>
      <w:spacing w:line="276" w:lineRule="auto"/>
    </w:pPr>
    <w:rPr>
      <w:sz w:val="18"/>
      <w:color w:val="4f81bd" w:themeColor="accent1"/>
      <w:b w:val="1"/>
      <w:bCs w:val="1"/>
      <w:szCs w:val="18"/>
    </w:rPr>
  </w:style>
  <w:style w:type="character" w:styleId="965">
    <w:name w:val="Caption Char"/>
    <w:basedOn w:val="964"/>
    <w:link w:val="1127"/>
    <w:uiPriority w:val="99"/>
  </w:style>
  <w:style w:type="table" w:styleId="966">
    <w:name w:val="Table Grid Light"/>
    <w:basedOn w:val="11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967">
    <w:name w:val="Plain Table 1"/>
    <w:basedOn w:val="11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968">
    <w:name w:val="Plain Table 2"/>
    <w:basedOn w:val="11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969">
    <w:name w:val="Plain Table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table" w:styleId="970">
    <w:name w:val="Plain Table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71">
    <w:name w:val="Plain Table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cPr>
        <w:tcBorders>
          <w:end w:val="single" w:color="404040" w:sz="4" w:space="0"/>
        </w:tcBorders>
        <w:shd w:val="clear" w:color="ffffff"/>
      </w:tcPr>
    </w:tblStylePr>
    <w:tblStylePr w:type="firstRow">
      <w:rPr>
        <w:color w:val="404040"/>
        <w:i w:val="1"/>
      </w:rPr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start w:val="single" w:color="404040" w:sz="4" w:space="0"/>
        </w:tcBorders>
        <w:shd w:val="clear" w:color="ffffff"/>
      </w:tcPr>
    </w:tblStylePr>
    <w:tblStylePr w:type="lastRow">
      <w:rPr>
        <w:color w:val="404040"/>
        <w:i w:val="1"/>
      </w:rPr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72">
    <w:name w:val="Grid Table 1 Light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67" w:sz="4" w:space="0"/>
          <w:start w:val="single" w:color="000000" w:themeColor="text1" w:themeTint="67" w:sz="4" w:space="0"/>
          <w:bottom w:val="single" w:color="000000" w:themeColor="text1" w:themeTint="67" w:sz="4" w:space="0"/>
          <w:end w:val="single" w:color="000000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73">
    <w:name w:val="Grid Table 1 Light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74">
    <w:name w:val="Grid Table 1 Light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75">
    <w:name w:val="Grid Table 1 Light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76">
    <w:name w:val="Grid Table 1 Light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77">
    <w:name w:val="Grid Table 1 Light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78">
    <w:name w:val="Grid Table 1 Light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979">
    <w:name w:val="Grid Table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9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80">
    <w:name w:val="Grid Table 2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E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81">
    <w:name w:val="Grid Table 2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82">
    <w:name w:val="Grid Table 2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83">
    <w:name w:val="Grid Table 2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84">
    <w:name w:val="Grid Table 2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85">
    <w:name w:val="Grid Table 2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86">
    <w:name w:val="Grid Table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87">
    <w:name w:val="Grid Table 3 - Accent 1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88">
    <w:name w:val="Grid Table 3 - Accent 2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89">
    <w:name w:val="Grid Table 3 - Accent 3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90">
    <w:name w:val="Grid Table 3 - Accent 4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91">
    <w:name w:val="Grid Table 3 - Accent 5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92">
    <w:name w:val="Grid Table 3 - Accent 6"/>
    <w:basedOn w:val="11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993">
    <w:name w:val="Grid Table 4"/>
    <w:basedOn w:val="11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</w:tcBorders>
      </w:tcPr>
    </w:tblStylePr>
  </w:style>
  <w:style w:type="table" w:styleId="994">
    <w:name w:val="Grid Table 4 - Accent 1"/>
    <w:basedOn w:val="11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2" w:fill="dce6f1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1" w:themeTint="EA" w:sz="4" w:space="0"/>
          <w:start w:val="single" w:color="000000" w:themeColor="accent1" w:themeTint="EA" w:sz="4" w:space="0"/>
          <w:bottom w:val="single" w:color="000000" w:themeColor="accent1" w:themeTint="EA" w:sz="4" w:space="0"/>
          <w:end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</w:tcBorders>
      </w:tcPr>
    </w:tblStylePr>
  </w:style>
  <w:style w:type="table" w:styleId="995">
    <w:name w:val="Grid Table 4 - Accent 2"/>
    <w:basedOn w:val="11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2" w:themeTint="97" w:sz="4" w:space="0"/>
          <w:start w:val="single" w:color="000000" w:themeColor="accent2" w:themeTint="97" w:sz="4" w:space="0"/>
          <w:bottom w:val="single" w:color="000000" w:themeColor="accent2" w:themeTint="97" w:sz="4" w:space="0"/>
          <w:end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996">
    <w:name w:val="Grid Table 4 - Accent 3"/>
    <w:basedOn w:val="11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3" w:themeTint="FE" w:sz="4" w:space="0"/>
          <w:start w:val="single" w:color="000000" w:themeColor="accent3" w:themeTint="FE" w:sz="4" w:space="0"/>
          <w:bottom w:val="single" w:color="000000" w:themeColor="accent3" w:themeTint="FE" w:sz="4" w:space="0"/>
          <w:end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</w:tcBorders>
      </w:tcPr>
    </w:tblStylePr>
  </w:style>
  <w:style w:type="table" w:styleId="997">
    <w:name w:val="Grid Table 4 - Accent 4"/>
    <w:basedOn w:val="11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4" w:themeTint="9A" w:sz="4" w:space="0"/>
          <w:start w:val="single" w:color="000000" w:themeColor="accent4" w:themeTint="9A" w:sz="4" w:space="0"/>
          <w:bottom w:val="single" w:color="000000" w:themeColor="accent4" w:themeTint="9A" w:sz="4" w:space="0"/>
          <w:end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998">
    <w:name w:val="Grid Table 4 - Accent 5"/>
    <w:basedOn w:val="11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5" w:sz="4" w:space="0"/>
          <w:start w:val="single" w:color="000000" w:themeColor="accent5" w:sz="4" w:space="0"/>
          <w:bottom w:val="single" w:color="000000" w:themeColor="accent5" w:sz="4" w:space="0"/>
          <w:end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</w:tcBorders>
      </w:tcPr>
    </w:tblStylePr>
  </w:style>
  <w:style w:type="table" w:styleId="999">
    <w:name w:val="Grid Table 4 - Accent 6"/>
    <w:basedOn w:val="11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6" w:sz="4" w:space="0"/>
          <w:start w:val="single" w:color="000000" w:themeColor="accent6" w:sz="4" w:space="0"/>
          <w:bottom w:val="single" w:color="000000" w:themeColor="accent6" w:sz="4" w:space="0"/>
          <w:end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-0c0f7994-0cdd-40de-94be-b0357536c60a" Type="http://schemas.openxmlformats.org/officeDocument/2006/relationships/image" Target="media/image2.png"/><Relationship Id="rId-9753e4fb-2158-466f-bddc-c65a351a6b29" Type="http://schemas.openxmlformats.org/officeDocument/2006/relationships/image" Target="media/image2.png"/><Relationship Id="rId-e02227fc-aa0a-4277-a536-7c1c26a27abd" Type="http://schemas.openxmlformats.org/officeDocument/2006/relationships/image" Target="media/image2.png"/><Relationship Id="rId14" Type="http://schemas.openxmlformats.org/officeDocument/2006/relationships/image" Target="media/image2.png"/><Relationship Id="rId15" Type="http://schemas.openxmlformats.org/officeDocument/2006/relationships/image" Target="media/image3.png"/></Relationships>
</file>

<file path=word/_rels/endnotes.xml.rels><?xml version="1.0" ?><Relationships xmlns="http://schemas.openxmlformats.org/package/2006/relationships"/>
</file>

<file path=word/_rels/footer1.xml.rels><?xml version="1.0" ?><Relationships xmlns="http://schemas.openxmlformats.org/package/2006/relationships"/>
</file>

<file path=word/_rels/footnotes.xml.rels><?xml version="1.0" ?><Relationships xmlns="http://schemas.openxmlformats.org/package/2006/relationships"/>
</file>

<file path=word/_rels/header1.xml.rels><?xml version="1.0" 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?>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unk1:gDocsCustomXmlDataStorage xmlns:unk1="http://customooxmlschemas.google.com/" uri="GoogleDocsCustomDataVersion2">
  <unk1:docsCustomData roundtripDataSignature="AMtx7mjMEZsEnGSiY5fum33/gRuNCgmzAQ==">CgMxLjAyDmgueXY3dTBrNXlzbnRwOAByITFjeXJoWlViUWhQMmhETkFBSjZhTUNieG9mUnJOM0VGUA==</unk1:docsCustomData>
</unk1:gDocsCustomXmlDataStorage>
</file>

<file path=customXml/item2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1111111-1234-1234-1234-123412341234}">
  <customXml:schemaRefs>
    <customXml:schemaRef customXml:uri="http://customooxmlschemas.google.com/"/>
    <customXml:schemaRef customXml:uri="http://schemas.openxmlformats.org/officeDocument/2006/relationships"/>
  </customXml:schemaRefs>
</customXml:datastoreItem>
</file>

<file path=customXml/itemProps2.xml><?xml version="1.0" encoding="utf-8"?>
<customXml:datastoreItem xmlns:customXml="http://schemas.openxmlformats.org/officeDocument/2006/customXml" customXml:itemID="{8D008379-F024-8D42-A7EA-C23C1C7013E2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Application>R7-Office/2024.1.1.375</ep:Application>
  <ep:Company/>
  <ep:DocSecurity>0</ep:DocSecurity>
  <ep:HyperlinksChanged>false</ep:HyperlinksChanged>
  <ep:LinksUpToDate>false</ep:LinksUpToDate>
  <ep:ScaleCrop>false</ep:ScaleCrop>
  <ep:SharedDoc>false</ep:SharedDoc>
  <ep:Template>Normal.dotm</ep:Template>
</ep:Properties>
</file>

<file path=docProps/core.xml><?xml version="1.0" encoding="utf-8"?>
<cp:coreProperties xmlns:dc="http://purl.org/dc/elements/1.1/" xmlns:dcterms="http://purl.org/dc/terms/" xmlns:cp="http://schemas.openxmlformats.org/package/2006/metadata/core-properties" xmlns:xsi="http://www.w3.org/2001/XMLSchema-instance">
  <dc:creator>Егорова Анастасия Серафимовна</dc:creator>
  <cp:lastModifiedBy>Юлия Лазутина</cp:lastModifiedBy>
  <cp:revision>6</cp:revision>
  <dcterms:created xsi:type="dcterms:W3CDTF">2025-07-11T12:32:00Z</dcterms:created>
  <dcterms:modified xsi:type="dcterms:W3CDTF">2026-04-23T12:42:30Z</dcterms:modified>
</cp:coreProperties>
</file>