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/>
      <w:bookmarkStart w:id="0" w:name="_heading=h.xxgtwc9rbki8"/>
      <w:r/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«Сравнение электоральных систем России и Запада»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right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Виноградова Ирина Маратовна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right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член Избирательной комиссии Свердловской области,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м.н.с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Института философии и права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Уральского отделения Российской академии наук,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заместитель председателя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Совета молодых политологов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Российской ассоциации политической науки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 лекции: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провести сравнительный анализ избирательных систем Российской Федерации и западных стран, выявив преимущества отечественной модели в обеспечении стабильности, суверенитета и реального народного представительства.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Определить ключевые типы электоральных систем, подчеркнув сбалансированность российской модели в сравнении с крайностями западных систем.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Сравнить принципы формирования органов власти, акцентируя внимание на российской системе как инструменте обеспечения политической стабильности, в отличие от западных моделей, ведущих к фрагментации и кризисам управления.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Проанализировать избирательные процедуры и технологии, выделив передовые цифровые решения России и их роль в повышении доступности выборов в противовес устаревшим бумажным системам Запада, уязвимым для манипуляций.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Рассмотреть механизмы прозрачности и легитимности избирательной системы в России, продемонстрировав масштабную систему общественного контроля и ее превосходство над ограниченными возможностями наблюдения во многих западных странах.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Оценить влияние избирательных систем на политический процесс, показав, как российская модель обеспечивает преемственность курса развития, тогда как западные системы часто приводят к резким сменам политики и расколу общества.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патриотизм;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права и свободы человека;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гражданственность.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правовая грамотность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 минут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госслужащие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18+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интерактивная лекция, дискуссия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Тип ММ: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сценарий;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- презентация.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2. Титульный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Приветствие лектором участников. Представление лектора.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3. Регистрация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 xml:space="preserve">Чтобы сделать нашу</w:t>
      </w: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 xml:space="preserve"> встречу еще более полезной, предлагаю вам пройти быструю регистрацию. Для этого отсканируйте QR-код, который вы видите на экране. Это займет не больше минуты, но позволит вам полноценно участвовать в дальнейшем обсуждении темы. Спасибо за вашу активность!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5, 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Роль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избирательн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системы в современном госуда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рстве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75397" cy="312678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275396" cy="31267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00.42pt;height:24.62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«Облако слов»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Сколько вы знаете систем и какие?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Ответ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их три: мажоритарная, пропорциональная и смешанная.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политической жизни любой страны избирательная система играет важную роль. Особенности выбранной избирательной системы определяют политическую работу страны в целом. Одним из ключевых механизмов, обеспечивающих легитимацию власти, выступают выборы.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Выборы являются важнейшим институтом современного демократического государства. Подходы к правовому регулированию и реализации избирательного права позволяют делать выводы об уровне политических свобод в стране.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Дискуссии об идеальной модели избирательной системы ведутся на протяжении долгого времени. Однако в политической науке общепризнанной является мысль о том, что идеальной модели не существует. Каждая из известных систем имеет свои достоинства и недостатки.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Говоря о сравнении избирательных моделей разных стран, прежде всего нужно разобраться с теоретической частью: а какие в целом бывают избирательные системы?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7.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ажоритарная избирательная система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Начнем с мажоритарной. Название происходит от французского слова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majorité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«большинство». В этой системе соревнуются отдельные личности — кандидаты. Пример — выборы президентов или губернаторов.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 системы есть два подвида: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Относительная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побеждает кандидат с простейшим перевесом. Например, Василий набрал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голосов, а Владимир — 51. Победит тот, у кого больше голосов. Сегодня эта система применяется в Великобритании (палата общин, 650 членов) и США (палата представителей, 435 членов).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Система имеет склонность к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двухпартийности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и «потерянным» голосам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(т. е. голосам, которые не учитываются при определении результата, например если избиратель проголосовал за проигравшего кандидата)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Абсолютная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побеждает кандидат, который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брал 50% всех голосов + 1 голос. Если ни один кандидат не побеждает в первом туре, лидеры голосования выходят во второй тур. Такая система применяется во Франции на выборах Национальной ассамблеи (577 одномандатных округов) и на выборах в парламент Грузии.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Наиболее целесообразно применять эту систему на выборах глав стран или регионов. В России она применяется на выборах губернаторов и глав регионов, а также президента.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применять эту систему к выборам в парламенты, она становится очень дорогой в организации и излишне усиливает персонализацию при партийной конкуренции.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89050" cy="285750"/>
                <wp:effectExtent l="0" t="0" r="0" b="0"/>
                <wp:docPr id="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289050" cy="285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01.50pt;height:22.50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посчитаем, сколько голосов нужно набрать кандидату для победы в системе абсолютного большинства, если всего проголосовало 12 463 избирателя и 10% из них неправильно заполнили бюллетень.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9.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твет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Ответ: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5 609 голосов.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Комментарий: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Задача не так проста, как кажется. Для начала нужно вычесть процент недействительных бюллетеней. 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463 – 10% = 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216 голосов. Из них нам нужна половина + 1 голос. Итого: 5 609 голосов.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10. П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ропорциональная избирательная система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Пропорциональная система — это система, где мандаты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(формальное право и обязанность лица, избранного в представительный орган, реализовывать свои полномочия)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достаются партиям или кандидатам пропорционально полученному ими проценту. При этом существует избирательный барьер — необходимый минимум голосов, который должна получить политическая партия, чтобы быть представленной в парламенте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Как правило, он составляет от 3 до 7%.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Такая система в чистом виде применяется в Израиле на выборах в кнессет (120 мест, 3,25% барьер) и шведский риксдаг (349 мест, 4% порог).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Чисто пропорциональная система, как правило, порождает излишне раздробленные парламенты, фракции которых вынуждены вступать в коалиции для принятия решений.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11.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Смешанная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избирательная система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Наиболее сложная, но справедливая и сбалансированная система — смешанная. В ней, как правило, половина мандатов разыгрываются от округов (мажоритарная система), половина — по спискам партий (пропорциональная система).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 мажоритарная, и пропорциональная системы имеют определенные достоинства и недостатки. Поэтому для того, чтобы максимально использовать их достоинства и минимизировать недостатки, применяют смешанную систему.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практике она работает следующим образом.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Кандидатом может стать гражданин, не зависящий от партии. В рамках мажоритарной системы для 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гистрации кандидатов требуется прохождение избирательного барьера в виде сбора определенного количества голосов. Такой подход формирует понимание о справедливом процессе выборов, так как указывает на то, что кандидат пользуется поддержкой в данном регионе.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системе пропорционального представительства выборы проходят по многомандатным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округам, то есть на основе списков кандидатов, выдвинутых политических партий, что способствует плюрализму и многопартийности. Пропорциональная система обеспечивает наличие в парламенте партийных фракций, выражающих интересы определенной части избирателей.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Гибрид устраняет перекосы мажоритарной системы и хаос чистой пропорции. В результате — устойчивое большинство и представительство регионов и идей партий.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выборах в Государственную Думу (нижнюю палату Федерального Собрания) применяется именно смешанная система.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73200" cy="3683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73200" cy="368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16.00pt;height:29.00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потренируемся в подсчете мандатов при смешанной системе. Перед вами таблица распределения 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лосов. Допустим, что парламент формируется следующим образом: 200 голосов — по одномандатным округам, 200 — по партийным спискам, а барьер составляет 5% голосов. В выборах участвовало 4 партии, в таблице представлены их результаты по округам и по спискам.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Какая партия и сколько мандатов получит в итоге?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1014"/>
        <w:tblW w:w="96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436"/>
        <w:gridCol w:w="2464"/>
        <w:gridCol w:w="2389"/>
        <w:gridCol w:w="2345"/>
      </w:tblGrid>
      <w:tr>
        <w:tblPrEx/>
        <w:trPr/>
        <w:tc>
          <w:tcPr>
            <w:tcW w:w="2436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Партия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% голосов, полученный партией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W w:w="2389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Кол-во выигранных округов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</w:p>
        </w:tc>
        <w:tc>
          <w:tcPr>
            <w:tcW w:w="234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Расчет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tcW w:w="2436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Партия 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89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4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 + 3 + 55 = 138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36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Партия 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89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4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 + 3 + 85 = 148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36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Партия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89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4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52 + 2 + 45 = 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36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Партия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6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89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34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 + 15 = 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13.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твет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Да, иногда даже в гуманитарных науках требуется знание математики. На самом деле все достаточно просто.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начала считаем процент, полученный партией от 200 мандатов по спискам. А получает 80 голосов, Б — 60, В — 52, а партия Г не получит 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ндаты по спискам, так как набрала меньше 5%. Ее неучтенные голоса (8) будут распределены пропорционально по партиям, прошедшим барьер. Далее добавляем количество мандатов, полученных партией по округам. Финальное распределение мест представлено на слайде.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" w:name="_heading=h.uirfp5gxahqo"/>
      <w:r/>
      <w:bookmarkEnd w:id="1"/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избирательная система — это инструмент формирования системы органов власти, от которого зависит будущая поли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тическая стабильность всего государства. Но даже идеально просчитанная распределительная формула мандатов теряет смысл, если после подсчета оказывается невозможным быстро назначить правительство, принять бюджет или ратифицировать международное соглашение.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оссийская система органов гос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ударственной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власти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Конституцией России в стране существует сбалансированная трехзвенная конструкция системы органов государственного управления: президентская власть, двухпалатный парламент и правительство, формируемое по принципу «двойного ключа».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чем суть принципа «двойного ключа» на практике? Государственная Дума и Совет Федерации получают дополнительные полномочия при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формировании состава правительства. Председатель правительства и министры назначаются при утверждении нижней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алатой парламента, а руководители силовых ведомств — после консультации с верхней. В этом случае мнение регионов транслируется на федеральный уровень и повышается ответственность депутатского корпуса за формирование состава правительства и его деятельность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Практика последних лет доказывает, что эта архитектура устойчивее, чем чисто парламентские или чисто президентские модели, применяемые в ряде западных стран.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нститут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президентства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России пре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зидент, как мы знаем, избирается народом на 6 лет прямым способом — на выборах. Этот срок позволяет обеспечить, как минимум, полноценный старт и завершение крупных экономических, социальных и политических проектов и программ (например, национальные проекты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 Кроме того, шестилетний срок синхронизирован с бюджетным циклом (трехлетний бюджет + корректировка в середине срока). Прямые всенародные выборы дают высокую легитимность: явка в 2024 году составила 77%, доверие к институту президентства, по данным ВЦИОМ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2025 году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держится на уровне 7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5,4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78,7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контрасте с этим в парламентских республиках судьба премьер‑министра зависит от коалиционной дисциплины, а не от прямого голосования граждан, что делает кабинет заложником межпартийных торгов. В президентских республиках президент, как прав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ило, обладает чрезмерным набором полномочий. Например, в США президент избирается раз в 4 года путем двухступенчатых косвенных выборов, в котором институт выборщиков может сделать выбор в пользу кандидата, который не был поддержан избирателями его округа.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нститут парламентаризма (нижняя палата)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Государственная Дума в России избирается по см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ешанной системе и получает право утверждать председателя правительства. Это классический механизм сдержек и противовесов: президент предлагает, парламент проверяет, обе ветви выигрывают от совместного результата. С 2008 года Госдума ни разу не отклонила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едложенную кандидатуру, но сама процедура создает коридор обсуждения экономической и социальной программы будущего кабинета. Ключевой индикатор «здоровья» политической системы — время формирования правительства. После выборов 2018 года России понадобилось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для утверждения председателя правительства и ключевых министров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: 7 мая Правительство сложило полномочия, а уже 18 мая президент утвердил новый состав</w:t>
      </w:r>
      <w:r>
        <w:rPr>
          <w:rStyle w:val="1006"/>
          <w:rFonts w:ascii="Times New Roman" w:hAnsi="Times New Roman" w:eastAsia="Times New Roman" w:cs="Times New Roman"/>
          <w:sz w:val="28"/>
          <w:szCs w:val="28"/>
          <w:lang w:val="ru-RU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2019 году Бельгия после голосования провела 653 дня без полноценного кабмина, Нидерланды в 2021–2022 гг. потратили 271 день на коалиционное соглашение.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7.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нститут парламентаризма (верхняя палата)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Совет Федерации в России формируется по региональному принципу — по два сенатора от каждого субъекта. Первый кандидат — представитель законодательного собрания региона,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торой — делегат главы региона. Мандат сенатора привязан к сроку полномочий отправившего его органа, но не меняется при трансформациях в партийном составе. Такой механизм делает верхнюю палату стабильной: за последние 10 лет сменилось лишь 15% ее состава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межвыборные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годы. Для сравнения: немецкий бундесрат меняет свой состав от каждых региональных выборов, а это в среднем 5–6 перестановок делегаций ежегодно, что усиливает колебание голоса земель (регионов).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Поэтому российский механизм смешанного формирования органов власти восполняет «слабые места» чистых парламентских и президентских моделей. Он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устраняет риск затяжных правительственных кризисов, сокращает время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бескабинетного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существования, гарантирует региональное представительство и закрепляет единый центр ответственности, сохраняя при этом парламентский контроль через процедуру утверждения Правительства.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8.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Цифровизация выборов в России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Кроме собственно системы формирования органов власти и избирательной системы, важным критерие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является прозрачность и доступность выборов. Сегодня в России происходит активный процесс цифровизации избирательного процесса. Ключевыми его достижениями является внедрение дистанционного электронного голосования (ДЭГ) и сервиса «Мобильный избиратель».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ДЭГ — это не просто возможность получения электронного бюллетеня. ДЭГ является криптографиче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ской системой защищенного голосования, где все транзакции электронного голоса преобразуются в токен, фиксируются в распределенном реестре, а ключ расшифровки разделен между независимыми хранителями. Иначе говоря, никакой администратор не может незаметно 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менить запись. Процедура расшифровки в момент вскрытия сейф-пакетов проходит публично при наблюдателях. Процедура расшифровки осуществляется в прямом эфире, поэтому у каждого гражданина есть возможность наблюдать за процессом. Журнал выгружается в открытый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доступ, что дает исследователям возможность верифицировать целостность цепочки. Таким образом, ДЭГ — не просто электронное голосование, а надежная и прозрачная система хранения и учета голоса. В 2024 году на выборах президента ДЭГ воспользовались более 4,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млн россиян</w:t>
      </w:r>
      <w:r>
        <w:rPr>
          <w:rStyle w:val="1006"/>
          <w:rFonts w:ascii="Times New Roman" w:hAnsi="Times New Roman" w:eastAsia="Times New Roman" w:cs="Times New Roman"/>
          <w:sz w:val="28"/>
          <w:szCs w:val="28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«Мобильный избиратель» реш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ает другую проблему — территориальную дислокацию граждан. Этот инструмент позволяет любому избирателю не быть привязанным к своей прописке в паспорте. Каждый может проголосовать на удобном для него участке, если находится в отпуске или на работе. Алгоритм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прост: авторизация через «Госуслуги», выбор удобного участк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а, автоматическое удаление из исходного списка избирателей. Проверка на двойное включение идет в реальном времени: банк данных ГАС «Выборы» блокирует повтор. В 2024 году на выборах Президента РФ «Мобильным избирателем» воспользовались более 3 млн россиян.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9.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Цифровизация выборов в мире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сравнительном ракурсе в подавл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яющем большинстве стран мира до сих пор применяются исключительно бумажные бюллетени или оптические сканеры для автоматического подсчета голосов (аналог КОИБ — комплекс обработки избирательных бюллетеней). Где-то до сих пор сохранено почтовое голосование.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2020 году такой формат привел к задержке итогов голосования на 4–6 дней в ряде шт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атов США, а обвинения в «утерянных конвертах» не затихают до сих пор. В Германии электронное голосование было запрещено из‑за невозможности «простого контроля» неспециалистом, а во Франции пилот электронного голосования был закрыт в 2017 году после отчета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киберагентства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рисках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кибервмешательства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Россия — одна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 немногих стран, в которых электронное голосование охватывает миллионы избирателей. Ключ к успеху — не только криптография, но и открытость избирательной системы: публичное стрим‑раскрытие ключа (процедура расшифровки осуществляется в прямом эфире), баг‑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баунти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программа (независимые операторы, осуществляющие поиск уязвимостей в системе) и мгновенная публикация протоколов.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20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Преимущества и недостатки ДЭГ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73200" cy="368300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73200" cy="368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16.00pt;height:29.00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немного подискутируем. Многие эксперты в последнее время утверждают, что в ближайшем будущем в России полностью перейдут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электронное голосование и откажутся от бумажного. Так это или нет — покажет время.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Сейчас давайте 3 минуты подумаем вместе, какие вы видите преимущества и недостатки полного перехода на ДЭГ в России и отказа от бумажного голосования?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Примерные ответы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Преимущества: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повышение явки избирателей на участки, возможность проголосовать в удобное время из любой точки страны, а также сокращение времени подсчета голосов и передачи данных в вышестоящие избирательные комиссии.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Недостатки: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недостаточный уровень доверия избирателей к обеспечению тайны голосования, сохранности бюллетеня и достоверности итогов дистанционного голосования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(Комментирование ответов участников)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14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142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21.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Общественный контроль на выборах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567"/>
        <w:jc w:val="both"/>
        <w:spacing w:line="360" w:lineRule="auto"/>
        <w:tabs>
          <w:tab w:val="left" w:pos="14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Кроме электронной защиты голоса, в избирательной системе России существует уникальная система общественного контроля за ходом голосования.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both"/>
        <w:spacing w:line="360" w:lineRule="auto"/>
        <w:tabs>
          <w:tab w:val="left" w:pos="14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Более 100 тысяч участков оборудованы видеокамерами, через которые в режиме онлайн могут наблюдать и кандидаты, и представители политических партий. Внедряются алгоритмы компьютерного зрения. На каждом участке име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 право находиться как наблюдатели от всех участников выборов, так и представители СМИ.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both"/>
        <w:spacing w:line="360" w:lineRule="auto"/>
        <w:tabs>
          <w:tab w:val="left" w:pos="14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Отдельной формой контр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оля является институт международного наблюдения. Так, в 2024 году по приглашению России следить за ходом выборов президента прибыли 1115 наблюдателей и экспертов из 129 государств мира, включая международные организации. В то время как, по информации ОБСЕ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(Организации по безопасности и сотрудничеству в Европе)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за выборами президента США в 2024 году следили две ограниченные миссии общим составом в 250 экспертов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 45 стран. И это при количестве граждан США, имеющих право голоса, в 245 млн человек. А за период с 2021 по 2023 год за выборами в Германии, Италии, Испании, Латвии, Литве, Франции, Эстонии наблюдали международные миссии в составе от двух до семи человек.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14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при этом, кроме всего вышеперечисленного, за выборами в России может наблюдать широкое общественное представительство. Субъектами общественного контроля могут стать граждане от 18 лет, представляющие обще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ственные палаты любого уровня. Это беспрецедентно широкая система общественного наблюдения впечатляет своими цифрами. Для наблюдения за выборами президента РФ от общественных палат было подготовлено и направлено на избирательные участки 156 тысяч человек.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Подобную систему многостороннего контроля сложно встретить в других странах.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720" w:leader="none"/>
          <w:tab w:val="left" w:pos="1440" w:leader="none"/>
          <w:tab w:val="left" w:pos="2160" w:leader="none"/>
          <w:tab w:val="left" w:pos="288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Социологический эффект прозрачности фиксируется в опросах ВЦИОМ: менее чем за три года, с 2021 по 2023, уровень общественного доверия к результатам выборов вырос с 46% до 61%</w:t>
      </w:r>
      <w:r>
        <w:rPr>
          <w:rStyle w:val="1006"/>
          <w:rFonts w:ascii="Times New Roman" w:hAnsi="Times New Roman" w:eastAsia="Times New Roman" w:cs="Times New Roman"/>
          <w:sz w:val="28"/>
          <w:szCs w:val="28"/>
        </w:rPr>
        <w:footnoteReference w:id="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2024 году уже 83% опрошенных россиян не сомневаются в том, что выборы прошли законно и честно</w:t>
      </w:r>
      <w:r>
        <w:rPr>
          <w:rStyle w:val="1006"/>
          <w:rFonts w:ascii="Times New Roman" w:hAnsi="Times New Roman" w:eastAsia="Times New Roman" w:cs="Times New Roman"/>
          <w:sz w:val="28"/>
          <w:szCs w:val="28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Например, в США видеокамеры — редкость, определяемая штатом, доступ к протоко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лам не унифицирован, во Франции видеосъемка запрещена законом о защите личных данных, а гражданские наблюдатели не допускаются — только представители кандидатов, в Германии нет юридического понятия «наблюдатель», то есть о нем даже нет упоминания в законе.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142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22.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охранение электорального суверенитета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ще одним уровнем защиты избирательного процесса является защита от иностранного вмешательства для поддержания электорального суверенитета. На выборах в России выстроена многоуровневая защита, охватывающая финансы, киберпространство и информационную среду.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Нельзя стать кандидатом, если есть иностранное финансирование, гражданство, счета и недвижимость за рубежом. В США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донаты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 других государств формально запрещены, но расследование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Senate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Intelligence Committee (2020) показало, что существуют двухступенчатые схемы финансирования, допускающие анонимный иностранный кэш — так были зафиксированы миллионы долларов, прошедшие через офшоры.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Вся российская база данных избирателей находится в изолированном от интернета доступе — в ГАС «Выборы». В ней контуры физически разорваны: нет прямого маршрута от интернета к базе голосования. В то же время ДЭГ обладает крупной сетью защиты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киберугроз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из-за рубежа (например, только в Москве в 2024 году было зафиксировано более 4,6 млн кибератак на инфраструктуру ДЭГ). Защищенность этих систем подтверждаются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Bug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Bounty — специализированными программами вознаграждений за найденные уязвимости в государственных IT‑системах. Тольк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в 2024 году исследователям выплачено 158 млн рублей. В ЕС подобные программы носят ведомственный характер и не покрывают весь избирательный контур. В США IT-ведомства публикуют рекомендации, но не имеют полномочий заставить штат установить защитный патч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(инструмент, предназначенный для исправления различных ошибок безопасности и самого программного обеспечения)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в контрасте с западными системами выявлен ключевой фактор их уязвимости — децентрализация. 50 американских штатов и более 10 000 юрисдикций закупаю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разное оборудование, применяют разные процедуры, в ЕС каждая страна разработала свои стандарты, а центральные ведомства выступают лишь координаторами, но не имеют полномочий навязать единый протокол. Такой ландшафт позволяет злоумышленнику бить в слабые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места. Например, атака в 2017 году на немецкую партию SPD и взлом серверов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En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Marche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! во Франции.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142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23.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Долгосрочная стратегия избирательного развития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Четкий избирательный календарь, смешанная избирательная система и многоуровневая защита выборного процесса позволяют России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задавать долгосрочную стратегию: программы развития «до 2030» и «до 2036» реализуются без перерывов. Российская модель создает фундамент для снижения рисков политических разрывов, позволяет бизнесу и регионам планировать на годы вперед. Долгий горизонт пол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итического планирования и низкая волатильность политического курса обеспечивают предсказуемость для граждан и инвесторов, в то время как западные модели с короткими циклами часто генерируют резкие политические повороты и усиливают общественную поляризацию.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24. Обратная связь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участие в лекции!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25. Полезные ссылки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w="11909" w:h="16834" w:orient="portrait"/>
      <w:pgMar w:top="1134" w:right="1134" w:bottom="1134" w:left="1134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Noto Sans Symbols"/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szCs w:val="28"/>
      </w:rPr>
      <w:t xml:space="preserve">1</w:t>
    </w:r>
    <w:r>
      <w:rPr>
        <w:rFonts w:ascii="Times New Roman" w:hAnsi="Times New Roman" w:eastAsia="Times New Roman" w:cs="Times New Roman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  <w:footnote w:id="2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https://bigenc.ru/c/zagraditel-nyi-bar-er-ff1275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3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  <w:lang w:val="ru-RU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hyperlink r:id="rId1" w:tooltip="http://www.kremlin.ru/acts/constitution/item#chapter6" w:anchor="chapter6" w:history="1">
        <w:r>
          <w:rPr>
            <w:rStyle w:val="1007"/>
            <w:rFonts w:ascii="Times New Roman" w:hAnsi="Times New Roman" w:cs="Times New Roman"/>
            <w:sz w:val="20"/>
            <w:szCs w:val="20"/>
          </w:rPr>
          <w:t xml:space="preserve">http://www.kremlin.ru/acts/constituti...m#chapter6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 xml:space="preserve"> — СТ. 111, 112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</w:p>
  </w:footnote>
  <w:footnote w:id="4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</w:t>
      </w:r>
      <w:hyperlink r:id="rId2" w:tooltip="https://wciom.ru/analytical-reviews/analiticheskii-obzor/reitingi-doverija-politikam-ocenki-raboty-prezidenta-i-pravitelstva-podderzhka-politicheskikh-partii-21112025" w:history="1">
        <w:r>
          <w:rPr>
            <w:rStyle w:val="1007"/>
            <w:rFonts w:ascii="Times New Roman" w:hAnsi="Times New Roman" w:cs="Times New Roman"/>
            <w:sz w:val="20"/>
            <w:szCs w:val="20"/>
          </w:rPr>
          <w:t xml:space="preserve">https://wciom.ru/analytical-reviews/analiticheskii-obzor/reitingi-doverija-politikam-ocenki-raboty-prezidenta-i-pravitelstva-podderzhka-politicheskikh-partii-21112025</w:t>
        </w:r>
      </w:hyperlink>
      <w:r>
        <w:rPr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</w:p>
  </w:footnote>
  <w:footnote w:id="5">
    <w:p>
      <w:pPr>
        <w:pStyle w:val="1004"/>
      </w:pPr>
      <w:r>
        <w:rPr>
          <w:rStyle w:val="100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Источник: </w:t>
      </w:r>
      <w:hyperlink r:id="rId3" w:tooltip="http://www.kremlin.ru/acts/news/57495" w:history="1">
        <w:r>
          <w:rPr>
            <w:rStyle w:val="1007"/>
            <w:rFonts w:ascii="Times New Roman" w:hAnsi="Times New Roman" w:cs="Times New Roman"/>
          </w:rPr>
          <w:t xml:space="preserve">http://www.kremlin.ru/acts/news/57495</w:t>
        </w:r>
      </w:hyperlink>
      <w:r>
        <w:t xml:space="preserve"> </w:t>
      </w:r>
      <w:r/>
    </w:p>
  </w:footnote>
  <w:footnote w:id="6">
    <w:p>
      <w:pPr>
        <w:pStyle w:val="1004"/>
        <w:rPr>
          <w:rFonts w:ascii="Times New Roman" w:hAnsi="Times New Roman" w:cs="Times New Roman"/>
        </w:rPr>
      </w:pPr>
      <w:r>
        <w:rPr>
          <w:rStyle w:val="100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Источник: </w:t>
      </w:r>
      <w:hyperlink r:id="rId4" w:tooltip="https://www.kommersant.ru/doc/6579312" w:history="1">
        <w:r>
          <w:rPr>
            <w:rStyle w:val="1007"/>
            <w:rFonts w:ascii="Times New Roman" w:hAnsi="Times New Roman" w:cs="Times New Roman"/>
            <w:shd w:val="clear" w:color="auto" w:fill="ffffff"/>
          </w:rPr>
          <w:t xml:space="preserve">https://www.kommersant.ru/doc/6579312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7">
    <w:p>
      <w:pPr>
        <w:spacing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https://cyberleninka.ru/article/n/preimuschestva-i-nedostatki-distantsionnogo-elektronnogo-golosovaniya-v-rossiyskoy-federatsii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8">
    <w:p>
      <w:pPr>
        <w:pStyle w:val="1004"/>
        <w:rPr>
          <w:rFonts w:ascii="Times New Roman" w:hAnsi="Times New Roman" w:cs="Times New Roman"/>
        </w:rPr>
      </w:pPr>
      <w:r>
        <w:rPr>
          <w:rStyle w:val="100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Источник: </w:t>
      </w:r>
      <w:hyperlink r:id="rId5" w:tooltip="https://wciom.ru/analytical-reviews/analiticheskii-obzor/vybory-v-rossii-uchastie-legitimnost-doverie" w:history="1">
        <w:r>
          <w:rPr>
            <w:rStyle w:val="1007"/>
            <w:rFonts w:ascii="Times New Roman" w:hAnsi="Times New Roman" w:cs="Times New Roman"/>
            <w:shd w:val="clear" w:color="auto" w:fill="ffffff"/>
          </w:rPr>
          <w:t xml:space="preserve">https://wciom.ru/analytical-reviews/an...-doveri...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9">
    <w:p>
      <w:pPr>
        <w:pStyle w:val="1004"/>
        <w:rPr>
          <w:rFonts w:ascii="Times New Roman" w:hAnsi="Times New Roman" w:cs="Times New Roman"/>
        </w:rPr>
      </w:pPr>
      <w:r>
        <w:rPr>
          <w:rStyle w:val="100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Источник: </w:t>
      </w:r>
      <w:hyperlink r:id="rId6" w:tooltip="https://wciom.ru/analytical-reviews/analiticheskii-obzor/vybory-prezidenta-rf-2024-ocenka-rezultatov" w:history="1">
        <w:r>
          <w:rPr>
            <w:rStyle w:val="1007"/>
            <w:rFonts w:ascii="Times New Roman" w:hAnsi="Times New Roman" w:cs="Times New Roman"/>
            <w:shd w:val="clear" w:color="auto" w:fill="ffffff"/>
          </w:rPr>
          <w:t xml:space="preserve">https://wciom.ru/analytical-reviews/an...rezultatov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firstLine="709"/>
      <w:jc w:val="center"/>
      <w:spacing w:line="360" w:lineRule="auto"/>
    </w:pPr>
    <w:r>
      <w:rPr>
        <w:rFonts w:ascii="Times New Roman" w:hAnsi="Times New Roman" w:eastAsia="Times New Roman" w:cs="Times New Roman"/>
        <w:sz w:val="28"/>
        <w:szCs w:val="28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5">
    <w:name w:val="Heading 1 Char"/>
    <w:basedOn w:val="985"/>
    <w:link w:val="979"/>
    <w:uiPriority w:val="9"/>
    <w:rPr>
      <w:rFonts w:ascii="Arial" w:hAnsi="Arial" w:eastAsia="Arial" w:cs="Arial"/>
      <w:sz w:val="40"/>
      <w:szCs w:val="40"/>
    </w:rPr>
  </w:style>
  <w:style w:type="character" w:styleId="816">
    <w:name w:val="Heading 2 Char"/>
    <w:basedOn w:val="985"/>
    <w:link w:val="980"/>
    <w:uiPriority w:val="9"/>
    <w:rPr>
      <w:rFonts w:ascii="Arial" w:hAnsi="Arial" w:eastAsia="Arial" w:cs="Arial"/>
      <w:sz w:val="34"/>
    </w:rPr>
  </w:style>
  <w:style w:type="character" w:styleId="817">
    <w:name w:val="Heading 3 Char"/>
    <w:basedOn w:val="985"/>
    <w:link w:val="981"/>
    <w:uiPriority w:val="9"/>
    <w:rPr>
      <w:rFonts w:ascii="Arial" w:hAnsi="Arial" w:eastAsia="Arial" w:cs="Arial"/>
      <w:sz w:val="30"/>
      <w:szCs w:val="30"/>
    </w:rPr>
  </w:style>
  <w:style w:type="character" w:styleId="818">
    <w:name w:val="Heading 4 Char"/>
    <w:basedOn w:val="985"/>
    <w:link w:val="982"/>
    <w:uiPriority w:val="9"/>
    <w:rPr>
      <w:rFonts w:ascii="Arial" w:hAnsi="Arial" w:eastAsia="Arial" w:cs="Arial"/>
      <w:b/>
      <w:bCs/>
      <w:sz w:val="26"/>
      <w:szCs w:val="26"/>
    </w:rPr>
  </w:style>
  <w:style w:type="character" w:styleId="819">
    <w:name w:val="Heading 5 Char"/>
    <w:basedOn w:val="985"/>
    <w:link w:val="983"/>
    <w:uiPriority w:val="9"/>
    <w:rPr>
      <w:rFonts w:ascii="Arial" w:hAnsi="Arial" w:eastAsia="Arial" w:cs="Arial"/>
      <w:b/>
      <w:bCs/>
      <w:sz w:val="24"/>
      <w:szCs w:val="24"/>
    </w:rPr>
  </w:style>
  <w:style w:type="character" w:styleId="820">
    <w:name w:val="Heading 6 Char"/>
    <w:basedOn w:val="985"/>
    <w:link w:val="984"/>
    <w:uiPriority w:val="9"/>
    <w:rPr>
      <w:rFonts w:ascii="Arial" w:hAnsi="Arial" w:eastAsia="Arial" w:cs="Arial"/>
      <w:b/>
      <w:bCs/>
      <w:sz w:val="22"/>
      <w:szCs w:val="22"/>
    </w:rPr>
  </w:style>
  <w:style w:type="paragraph" w:styleId="821">
    <w:name w:val="Heading 7"/>
    <w:basedOn w:val="978"/>
    <w:next w:val="978"/>
    <w:link w:val="8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2">
    <w:name w:val="Heading 7 Char"/>
    <w:basedOn w:val="985"/>
    <w:link w:val="8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3">
    <w:name w:val="Heading 8"/>
    <w:basedOn w:val="978"/>
    <w:next w:val="978"/>
    <w:link w:val="8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4">
    <w:name w:val="Heading 8 Char"/>
    <w:basedOn w:val="985"/>
    <w:link w:val="823"/>
    <w:uiPriority w:val="9"/>
    <w:rPr>
      <w:rFonts w:ascii="Arial" w:hAnsi="Arial" w:eastAsia="Arial" w:cs="Arial"/>
      <w:i/>
      <w:iCs/>
      <w:sz w:val="22"/>
      <w:szCs w:val="22"/>
    </w:rPr>
  </w:style>
  <w:style w:type="paragraph" w:styleId="825">
    <w:name w:val="Heading 9"/>
    <w:basedOn w:val="978"/>
    <w:next w:val="978"/>
    <w:link w:val="8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6">
    <w:name w:val="Heading 9 Char"/>
    <w:basedOn w:val="985"/>
    <w:link w:val="825"/>
    <w:uiPriority w:val="9"/>
    <w:rPr>
      <w:rFonts w:ascii="Arial" w:hAnsi="Arial" w:eastAsia="Arial" w:cs="Arial"/>
      <w:i/>
      <w:iCs/>
      <w:sz w:val="21"/>
      <w:szCs w:val="21"/>
    </w:rPr>
  </w:style>
  <w:style w:type="paragraph" w:styleId="827">
    <w:name w:val="No Spacing"/>
    <w:uiPriority w:val="1"/>
    <w:qFormat/>
    <w:pPr>
      <w:spacing w:before="0" w:after="0" w:line="240" w:lineRule="auto"/>
    </w:pPr>
  </w:style>
  <w:style w:type="character" w:styleId="828">
    <w:name w:val="Title Char"/>
    <w:basedOn w:val="985"/>
    <w:link w:val="989"/>
    <w:uiPriority w:val="10"/>
    <w:rPr>
      <w:sz w:val="48"/>
      <w:szCs w:val="48"/>
    </w:rPr>
  </w:style>
  <w:style w:type="character" w:styleId="829">
    <w:name w:val="Subtitle Char"/>
    <w:basedOn w:val="985"/>
    <w:link w:val="1013"/>
    <w:uiPriority w:val="11"/>
    <w:rPr>
      <w:sz w:val="24"/>
      <w:szCs w:val="24"/>
    </w:rPr>
  </w:style>
  <w:style w:type="paragraph" w:styleId="830">
    <w:name w:val="Quote"/>
    <w:basedOn w:val="978"/>
    <w:next w:val="978"/>
    <w:link w:val="831"/>
    <w:uiPriority w:val="29"/>
    <w:qFormat/>
    <w:pPr>
      <w:ind w:left="720" w:right="720"/>
    </w:pPr>
    <w:rPr>
      <w:i/>
    </w:rPr>
  </w:style>
  <w:style w:type="character" w:styleId="831">
    <w:name w:val="Quote Char"/>
    <w:link w:val="830"/>
    <w:uiPriority w:val="29"/>
    <w:rPr>
      <w:i/>
    </w:rPr>
  </w:style>
  <w:style w:type="paragraph" w:styleId="832">
    <w:name w:val="Intense Quote"/>
    <w:basedOn w:val="978"/>
    <w:next w:val="978"/>
    <w:link w:val="8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3">
    <w:name w:val="Intense Quote Char"/>
    <w:link w:val="832"/>
    <w:uiPriority w:val="30"/>
    <w:rPr>
      <w:i/>
    </w:rPr>
  </w:style>
  <w:style w:type="character" w:styleId="834">
    <w:name w:val="Header Char"/>
    <w:basedOn w:val="985"/>
    <w:link w:val="999"/>
    <w:uiPriority w:val="99"/>
  </w:style>
  <w:style w:type="character" w:styleId="835">
    <w:name w:val="Footer Char"/>
    <w:basedOn w:val="985"/>
    <w:link w:val="1001"/>
    <w:uiPriority w:val="99"/>
  </w:style>
  <w:style w:type="paragraph" w:styleId="836">
    <w:name w:val="Caption"/>
    <w:basedOn w:val="978"/>
    <w:next w:val="9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7">
    <w:name w:val="Caption Char"/>
    <w:basedOn w:val="836"/>
    <w:link w:val="1001"/>
    <w:uiPriority w:val="99"/>
  </w:style>
  <w:style w:type="table" w:styleId="838">
    <w:name w:val="Table Grid Light"/>
    <w:basedOn w:val="9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9">
    <w:name w:val="Plain Table 1"/>
    <w:basedOn w:val="9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0">
    <w:name w:val="Plain Table 2"/>
    <w:basedOn w:val="9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1">
    <w:name w:val="Plain Table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2">
    <w:name w:val="Plain Table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Plain Table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4">
    <w:name w:val="Grid Table 1 Light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1 Light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1 Light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1 Light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Grid Table 1 Light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Grid Table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2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2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2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3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4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6">
    <w:name w:val="Grid Table 4 - Accent 1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7">
    <w:name w:val="Grid Table 4 - Accent 2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8">
    <w:name w:val="Grid Table 4 - Accent 3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9">
    <w:name w:val="Grid Table 4 - Accent 4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70">
    <w:name w:val="Grid Table 4 - Accent 5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1">
    <w:name w:val="Grid Table 4 - Accent 6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2">
    <w:name w:val="Grid Table 5 Dark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3">
    <w:name w:val="Grid Table 5 Dark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4">
    <w:name w:val="Grid Table 5 Dark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5">
    <w:name w:val="Grid Table 5 Dark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6">
    <w:name w:val="Grid Table 5 Dark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7">
    <w:name w:val="Grid Table 5 Dark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8">
    <w:name w:val="Grid Table 5 Dark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9">
    <w:name w:val="Grid Table 6 Colorful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80">
    <w:name w:val="Grid Table 6 Colorful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1">
    <w:name w:val="Grid Table 6 Colorful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2">
    <w:name w:val="Grid Table 6 Colorful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3">
    <w:name w:val="Grid Table 6 Colorful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4">
    <w:name w:val="Grid Table 6 Colorful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5">
    <w:name w:val="Grid Table 6 Colorful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6">
    <w:name w:val="Grid Table 7 Colorful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7 Colorful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7 Colorful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7 Colorful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1 Light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List Table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1">
    <w:name w:val="List Table 2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2">
    <w:name w:val="List Table 2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3">
    <w:name w:val="List Table 2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4">
    <w:name w:val="List Table 2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5">
    <w:name w:val="List Table 2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6">
    <w:name w:val="List Table 2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7">
    <w:name w:val="List Table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3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3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3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3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4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4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5 Dark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5 Dark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5">
    <w:name w:val="List Table 5 Dark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5 Dark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7">
    <w:name w:val="List Table 5 Dark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8">
    <w:name w:val="List Table 6 Colorful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9">
    <w:name w:val="List Table 6 Colorful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0">
    <w:name w:val="List Table 6 Colorful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1">
    <w:name w:val="List Table 6 Colorful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2">
    <w:name w:val="List Table 6 Colorful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3">
    <w:name w:val="List Table 6 Colorful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4">
    <w:name w:val="List Table 6 Colorful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5">
    <w:name w:val="List Table 7 Colorful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6">
    <w:name w:val="List Table 7 Colorful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7">
    <w:name w:val="List Table 7 Colorful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8">
    <w:name w:val="List Table 7 Colorful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9">
    <w:name w:val="List Table 7 Colorful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40">
    <w:name w:val="List Table 7 Colorful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41">
    <w:name w:val="List Table 7 Colorful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2">
    <w:name w:val="Lined - Accent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3">
    <w:name w:val="Lined - Accent 1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4">
    <w:name w:val="Lined - Accent 2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5">
    <w:name w:val="Lined - Accent 3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6">
    <w:name w:val="Lined - Accent 4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7">
    <w:name w:val="Lined - Accent 5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8">
    <w:name w:val="Lined - Accent 6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9">
    <w:name w:val="Bordered &amp; Lined - Accent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0">
    <w:name w:val="Bordered &amp; Lined - Accent 1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1">
    <w:name w:val="Bordered &amp; Lined - Accent 2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2">
    <w:name w:val="Bordered &amp; Lined - Accent 3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3">
    <w:name w:val="Bordered &amp; Lined - Accent 4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4">
    <w:name w:val="Bordered &amp; Lined - Accent 5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5">
    <w:name w:val="Bordered &amp; Lined - Accent 6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6">
    <w:name w:val="Bordered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7">
    <w:name w:val="Bordered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8">
    <w:name w:val="Bordered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9">
    <w:name w:val="Bordered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60">
    <w:name w:val="Bordered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1">
    <w:name w:val="Bordered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2">
    <w:name w:val="Bordered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3">
    <w:name w:val="Footnote Text Char"/>
    <w:link w:val="1004"/>
    <w:uiPriority w:val="99"/>
    <w:rPr>
      <w:sz w:val="18"/>
    </w:rPr>
  </w:style>
  <w:style w:type="paragraph" w:styleId="964">
    <w:name w:val="endnote text"/>
    <w:basedOn w:val="978"/>
    <w:link w:val="965"/>
    <w:uiPriority w:val="99"/>
    <w:semiHidden/>
    <w:unhideWhenUsed/>
    <w:pPr>
      <w:spacing w:after="0" w:line="240" w:lineRule="auto"/>
    </w:pPr>
    <w:rPr>
      <w:sz w:val="20"/>
    </w:rPr>
  </w:style>
  <w:style w:type="character" w:styleId="965">
    <w:name w:val="Endnote Text Char"/>
    <w:link w:val="964"/>
    <w:uiPriority w:val="99"/>
    <w:rPr>
      <w:sz w:val="20"/>
    </w:rPr>
  </w:style>
  <w:style w:type="character" w:styleId="966">
    <w:name w:val="endnote reference"/>
    <w:basedOn w:val="985"/>
    <w:uiPriority w:val="99"/>
    <w:semiHidden/>
    <w:unhideWhenUsed/>
    <w:rPr>
      <w:vertAlign w:val="superscript"/>
    </w:rPr>
  </w:style>
  <w:style w:type="paragraph" w:styleId="967">
    <w:name w:val="toc 1"/>
    <w:basedOn w:val="978"/>
    <w:next w:val="978"/>
    <w:uiPriority w:val="39"/>
    <w:unhideWhenUsed/>
    <w:pPr>
      <w:ind w:left="0" w:right="0" w:firstLine="0"/>
      <w:spacing w:after="57"/>
    </w:pPr>
  </w:style>
  <w:style w:type="paragraph" w:styleId="968">
    <w:name w:val="toc 2"/>
    <w:basedOn w:val="978"/>
    <w:next w:val="978"/>
    <w:uiPriority w:val="39"/>
    <w:unhideWhenUsed/>
    <w:pPr>
      <w:ind w:left="283" w:right="0" w:firstLine="0"/>
      <w:spacing w:after="57"/>
    </w:pPr>
  </w:style>
  <w:style w:type="paragraph" w:styleId="969">
    <w:name w:val="toc 3"/>
    <w:basedOn w:val="978"/>
    <w:next w:val="978"/>
    <w:uiPriority w:val="39"/>
    <w:unhideWhenUsed/>
    <w:pPr>
      <w:ind w:left="567" w:right="0" w:firstLine="0"/>
      <w:spacing w:after="57"/>
    </w:pPr>
  </w:style>
  <w:style w:type="paragraph" w:styleId="970">
    <w:name w:val="toc 4"/>
    <w:basedOn w:val="978"/>
    <w:next w:val="978"/>
    <w:uiPriority w:val="39"/>
    <w:unhideWhenUsed/>
    <w:pPr>
      <w:ind w:left="850" w:right="0" w:firstLine="0"/>
      <w:spacing w:after="57"/>
    </w:pPr>
  </w:style>
  <w:style w:type="paragraph" w:styleId="971">
    <w:name w:val="toc 5"/>
    <w:basedOn w:val="978"/>
    <w:next w:val="978"/>
    <w:uiPriority w:val="39"/>
    <w:unhideWhenUsed/>
    <w:pPr>
      <w:ind w:left="1134" w:right="0" w:firstLine="0"/>
      <w:spacing w:after="57"/>
    </w:pPr>
  </w:style>
  <w:style w:type="paragraph" w:styleId="972">
    <w:name w:val="toc 6"/>
    <w:basedOn w:val="978"/>
    <w:next w:val="978"/>
    <w:uiPriority w:val="39"/>
    <w:unhideWhenUsed/>
    <w:pPr>
      <w:ind w:left="1417" w:right="0" w:firstLine="0"/>
      <w:spacing w:after="57"/>
    </w:pPr>
  </w:style>
  <w:style w:type="paragraph" w:styleId="973">
    <w:name w:val="toc 7"/>
    <w:basedOn w:val="978"/>
    <w:next w:val="978"/>
    <w:uiPriority w:val="39"/>
    <w:unhideWhenUsed/>
    <w:pPr>
      <w:ind w:left="1701" w:right="0" w:firstLine="0"/>
      <w:spacing w:after="57"/>
    </w:pPr>
  </w:style>
  <w:style w:type="paragraph" w:styleId="974">
    <w:name w:val="toc 8"/>
    <w:basedOn w:val="978"/>
    <w:next w:val="978"/>
    <w:uiPriority w:val="39"/>
    <w:unhideWhenUsed/>
    <w:pPr>
      <w:ind w:left="1984" w:right="0" w:firstLine="0"/>
      <w:spacing w:after="57"/>
    </w:pPr>
  </w:style>
  <w:style w:type="paragraph" w:styleId="975">
    <w:name w:val="toc 9"/>
    <w:basedOn w:val="978"/>
    <w:next w:val="978"/>
    <w:uiPriority w:val="39"/>
    <w:unhideWhenUsed/>
    <w:pPr>
      <w:ind w:left="2268" w:right="0" w:firstLine="0"/>
      <w:spacing w:after="57"/>
    </w:pPr>
  </w:style>
  <w:style w:type="paragraph" w:styleId="976">
    <w:name w:val="TOC Heading"/>
    <w:uiPriority w:val="39"/>
    <w:unhideWhenUsed/>
  </w:style>
  <w:style w:type="paragraph" w:styleId="977">
    <w:name w:val="table of figures"/>
    <w:basedOn w:val="978"/>
    <w:next w:val="978"/>
    <w:uiPriority w:val="99"/>
    <w:unhideWhenUsed/>
    <w:pPr>
      <w:spacing w:after="0" w:afterAutospacing="0"/>
    </w:pPr>
  </w:style>
  <w:style w:type="paragraph" w:styleId="978" w:default="1">
    <w:name w:val="Normal"/>
    <w:qFormat/>
  </w:style>
  <w:style w:type="paragraph" w:styleId="979">
    <w:name w:val="Heading 1"/>
    <w:basedOn w:val="978"/>
    <w:next w:val="978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980">
    <w:name w:val="Heading 2"/>
    <w:basedOn w:val="978"/>
    <w:next w:val="978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981">
    <w:name w:val="Heading 3"/>
    <w:basedOn w:val="978"/>
    <w:next w:val="978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982">
    <w:name w:val="Heading 4"/>
    <w:basedOn w:val="978"/>
    <w:next w:val="978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983">
    <w:name w:val="Heading 5"/>
    <w:basedOn w:val="978"/>
    <w:next w:val="978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984">
    <w:name w:val="Heading 6"/>
    <w:basedOn w:val="978"/>
    <w:next w:val="978"/>
    <w:uiPriority w:val="9"/>
    <w:semiHidden/>
    <w:unhideWhenUsed/>
    <w:qFormat/>
    <w:pPr>
      <w:keepLines/>
      <w:keepNext/>
      <w:spacing w:before="240" w:after="80"/>
      <w:outlineLvl w:val="5"/>
    </w:pPr>
    <w:rPr>
      <w:i/>
      <w:iCs/>
      <w:color w:val="666666"/>
    </w:rPr>
  </w:style>
  <w:style w:type="character" w:styleId="985" w:default="1">
    <w:name w:val="Default Paragraph Font"/>
    <w:uiPriority w:val="1"/>
    <w:semiHidden/>
    <w:unhideWhenUsed/>
  </w:style>
  <w:style w:type="table" w:styleId="9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7" w:default="1">
    <w:name w:val="No List"/>
    <w:uiPriority w:val="99"/>
    <w:semiHidden/>
    <w:unhideWhenUsed/>
  </w:style>
  <w:style w:type="table" w:styleId="988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89">
    <w:name w:val="Title"/>
    <w:basedOn w:val="978"/>
    <w:next w:val="978"/>
    <w:uiPriority w:val="10"/>
    <w:qFormat/>
    <w:pPr>
      <w:keepLines/>
      <w:keepNext/>
      <w:spacing w:after="60"/>
    </w:pPr>
    <w:rPr>
      <w:sz w:val="52"/>
      <w:szCs w:val="52"/>
    </w:rPr>
  </w:style>
  <w:style w:type="table" w:styleId="990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991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99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94">
    <w:name w:val="annotation reference"/>
    <w:basedOn w:val="985"/>
    <w:uiPriority w:val="99"/>
    <w:semiHidden/>
    <w:unhideWhenUsed/>
    <w:rPr>
      <w:sz w:val="16"/>
      <w:szCs w:val="16"/>
    </w:rPr>
  </w:style>
  <w:style w:type="paragraph" w:styleId="995">
    <w:name w:val="annotation text"/>
    <w:link w:val="99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96" w:customStyle="1">
    <w:name w:val="Текст примечания Знак"/>
    <w:basedOn w:val="985"/>
    <w:link w:val="995"/>
    <w:uiPriority w:val="99"/>
    <w:semiHidden/>
    <w:rPr>
      <w:sz w:val="20"/>
      <w:szCs w:val="20"/>
    </w:rPr>
  </w:style>
  <w:style w:type="paragraph" w:styleId="997">
    <w:name w:val="annotation subject"/>
    <w:basedOn w:val="995"/>
    <w:next w:val="995"/>
    <w:link w:val="998"/>
    <w:uiPriority w:val="99"/>
    <w:semiHidden/>
    <w:unhideWhenUsed/>
    <w:rPr>
      <w:b/>
      <w:bCs/>
    </w:rPr>
  </w:style>
  <w:style w:type="character" w:styleId="998" w:customStyle="1">
    <w:name w:val="Тема примечания Знак"/>
    <w:basedOn w:val="996"/>
    <w:link w:val="997"/>
    <w:uiPriority w:val="99"/>
    <w:semiHidden/>
    <w:rPr>
      <w:b/>
      <w:bCs/>
      <w:sz w:val="20"/>
      <w:szCs w:val="20"/>
    </w:rPr>
  </w:style>
  <w:style w:type="paragraph" w:styleId="999">
    <w:name w:val="Header"/>
    <w:link w:val="1000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1000" w:customStyle="1">
    <w:name w:val="Верхний колонтитул Знак"/>
    <w:basedOn w:val="985"/>
    <w:link w:val="999"/>
    <w:uiPriority w:val="99"/>
  </w:style>
  <w:style w:type="paragraph" w:styleId="1001">
    <w:name w:val="Footer"/>
    <w:link w:val="1002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1002" w:customStyle="1">
    <w:name w:val="Нижний колонтитул Знак"/>
    <w:basedOn w:val="985"/>
    <w:link w:val="1001"/>
    <w:uiPriority w:val="99"/>
  </w:style>
  <w:style w:type="paragraph" w:styleId="1003">
    <w:name w:val="List Paragraph"/>
    <w:uiPriority w:val="34"/>
    <w:qFormat/>
    <w:pPr>
      <w:contextualSpacing/>
      <w:ind w:left="720"/>
    </w:pPr>
  </w:style>
  <w:style w:type="paragraph" w:styleId="1004">
    <w:name w:val="footnote text"/>
    <w:link w:val="1005"/>
    <w:uiPriority w:val="99"/>
    <w:unhideWhenUsed/>
    <w:pPr>
      <w:spacing w:line="240" w:lineRule="auto"/>
    </w:pPr>
    <w:rPr>
      <w:rFonts w:asciiTheme="minorHAnsi" w:hAnsiTheme="minorHAnsi" w:eastAsiaTheme="minorHAnsi" w:cstheme="minorBidi"/>
      <w:sz w:val="20"/>
      <w:szCs w:val="20"/>
      <w:lang w:val="ru-RU" w:eastAsia="en-US"/>
    </w:rPr>
  </w:style>
  <w:style w:type="character" w:styleId="1005" w:customStyle="1">
    <w:name w:val="Текст сноски Знак"/>
    <w:basedOn w:val="985"/>
    <w:link w:val="1004"/>
    <w:uiPriority w:val="99"/>
    <w:rPr>
      <w:rFonts w:asciiTheme="minorHAnsi" w:hAnsiTheme="minorHAnsi" w:eastAsiaTheme="minorHAnsi" w:cstheme="minorBidi"/>
      <w:sz w:val="20"/>
      <w:szCs w:val="20"/>
      <w:lang w:val="ru-RU" w:eastAsia="en-US"/>
    </w:rPr>
  </w:style>
  <w:style w:type="character" w:styleId="1006">
    <w:name w:val="footnote reference"/>
    <w:basedOn w:val="985"/>
    <w:uiPriority w:val="99"/>
    <w:unhideWhenUsed/>
    <w:rPr>
      <w:vertAlign w:val="superscript"/>
    </w:rPr>
  </w:style>
  <w:style w:type="character" w:styleId="1007">
    <w:name w:val="Hyperlink"/>
    <w:basedOn w:val="985"/>
    <w:uiPriority w:val="99"/>
    <w:unhideWhenUsed/>
    <w:rPr>
      <w:color w:val="0000ff" w:themeColor="hyperlink"/>
      <w:u w:val="single"/>
    </w:rPr>
  </w:style>
  <w:style w:type="character" w:styleId="1008">
    <w:name w:val="Unresolved Mention"/>
    <w:basedOn w:val="985"/>
    <w:uiPriority w:val="99"/>
    <w:semiHidden/>
    <w:unhideWhenUsed/>
    <w:rPr>
      <w:color w:val="605e5c"/>
      <w:shd w:val="clear" w:color="auto" w:fill="e1dfdd"/>
    </w:rPr>
  </w:style>
  <w:style w:type="table" w:styleId="1009">
    <w:name w:val="Table Grid"/>
    <w:basedOn w:val="986"/>
    <w:uiPriority w:val="3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10" w:customStyle="1">
    <w:name w:val="StGen0"/>
    <w:basedOn w:val="99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1011">
    <w:name w:val="Revision"/>
    <w:hidden/>
    <w:uiPriority w:val="99"/>
    <w:semiHidden/>
    <w:pPr>
      <w:spacing w:line="240" w:lineRule="auto"/>
    </w:pPr>
  </w:style>
  <w:style w:type="table" w:styleId="1012" w:customStyle="1">
    <w:name w:val="StGen1"/>
    <w:basedOn w:val="991"/>
    <w:pPr>
      <w:spacing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1013">
    <w:name w:val="Subtitle"/>
    <w:basedOn w:val="978"/>
    <w:next w:val="978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table" w:styleId="1014" w:customStyle="1">
    <w:name w:val="StGen2"/>
    <w:basedOn w:val="991"/>
    <w:pPr>
      <w:spacing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www.kremlin.ru/acts/constitution/item" TargetMode="External"/><Relationship Id="rId2" Type="http://schemas.openxmlformats.org/officeDocument/2006/relationships/hyperlink" Target="https://wciom.ru/analytical-reviews/analiticheskii-obzor/reitingi-doverija-politikam-ocenki-raboty-prezidenta-i-pravitelstva-podderzhka-politicheskikh-partii-21112025" TargetMode="External"/><Relationship Id="rId3" Type="http://schemas.openxmlformats.org/officeDocument/2006/relationships/hyperlink" Target="http://www.kremlin.ru/acts/news/57495" TargetMode="External"/><Relationship Id="rId4" Type="http://schemas.openxmlformats.org/officeDocument/2006/relationships/hyperlink" Target="https://www.kommersant.ru/doc/6579312" TargetMode="External"/><Relationship Id="rId5" Type="http://schemas.openxmlformats.org/officeDocument/2006/relationships/hyperlink" Target="https://wciom.ru/analytical-reviews/analiticheskii-obzor/vybory-v-rossii-uchastie-legitimnost-doverie" TargetMode="External"/><Relationship Id="rId6" Type="http://schemas.openxmlformats.org/officeDocument/2006/relationships/hyperlink" Target="https://wciom.ru/analytical-reviews/analiticheskii-obzor/vybory-prezidenta-rf-2024-ocenka-rezultatov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UXyDZbkoKaJQw7TcXfW6j5JxCQ==">CgMxLjAyDmgueHhndHdjOXJia2k4Mg5oLnVpcmZwNWd4YWhxbzgAciExQWxFRi1HN0JybTh0NGg5cGNoT1BGYWFkOTQ3M05ERkI=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B4F489-7582-4A4A-81BA-1054AA90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Юлия Лазутина</cp:lastModifiedBy>
  <cp:revision>11</cp:revision>
  <dcterms:created xsi:type="dcterms:W3CDTF">2025-07-11T12:32:00Z</dcterms:created>
  <dcterms:modified xsi:type="dcterms:W3CDTF">2026-04-23T12:25:12Z</dcterms:modified>
</cp:coreProperties>
</file>