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62"/>
        <w:jc w:val="center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«Финансовое мошенничество: стратегии защиты»</w:t>
      </w:r>
      <w:r>
        <w:rPr>
          <w:rFonts w:ascii="Times New Roman" w:hAnsi="Times New Roman" w:eastAsia="Times New Roman" w:cs="Times New Roman"/>
          <w:b/>
          <w:bCs/>
          <w:color w:val="000000"/>
        </w:rPr>
      </w:r>
      <w:r>
        <w:rPr>
          <w:rFonts w:ascii="Times New Roman" w:hAnsi="Times New Roman" w:eastAsia="Times New Roman" w:cs="Times New Roman"/>
          <w:b/>
          <w:bCs/>
          <w:color w:val="000000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right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Масленникова Анастасия Юрьевна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right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экономических наук,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20"/>
        <w:jc w:val="right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доцент кафедры экономической теории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right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Уральского института управления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right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филиала РАНХиГС при Президенте РФ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дать слушателям знания и практические навыки, необходимые для своевременного распознавания финансового мошенничества и эффективной защиты своих денег и персональных данных.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Дать актуальное определение финансового мошенничества и познакомить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слушателей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его распространенными видами, учитывая современные тенденции развития мошеннических схем.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Показать способы и основные приемы воздействия, которые используют мошенники для обмана жертв, чтобы слушатели могли распознавать манипуляции.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Объяснить, какими технологиями и инструментами пользуются современные мошенники, проиллюстрировать реальные рабочие схемы.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Продемонстрировать способы и практические приемы защиты своих финансов, персональных данных и устройств.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 с правовыми аспектами: куда обращаться за помощью и какими нормативными механизмами можно воспользоваться.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heading=h.otgnyg70uo14"/>
      <w:r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достоинство, справедливость.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финансовая грамотность.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 лекции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50 минут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студенты.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16+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интерактивная лекция, дискуссия.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уважаемые участники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!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Сегодня мы поговорим о нескольких массовых видах финансового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мошенничества, с которыми люди иногда сталкиваются.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tabs>
          <w:tab w:val="left" w:pos="0" w:leader="none"/>
          <w:tab w:val="left" w:pos="708" w:leader="none"/>
          <w:tab w:val="left" w:pos="1415" w:leader="none"/>
          <w:tab w:val="left" w:pos="2123" w:leader="none"/>
          <w:tab w:val="left" w:pos="2830" w:leader="none"/>
          <w:tab w:val="left" w:pos="3538" w:leader="none"/>
          <w:tab w:val="left" w:pos="4245" w:leader="none"/>
          <w:tab w:val="left" w:pos="4953" w:leader="none"/>
          <w:tab w:val="left" w:pos="5660" w:leader="none"/>
          <w:tab w:val="left" w:pos="6368" w:leader="none"/>
          <w:tab w:val="left" w:pos="7075" w:leader="none"/>
          <w:tab w:val="left" w:pos="7782" w:leader="none"/>
          <w:tab w:val="left" w:pos="8490" w:leader="none"/>
          <w:tab w:val="left" w:pos="9197" w:leader="none"/>
          <w:tab w:val="left" w:pos="9905" w:leader="none"/>
          <w:tab w:val="left" w:pos="10612" w:leader="none"/>
          <w:tab w:val="left" w:pos="11320" w:leader="none"/>
          <w:tab w:val="left" w:pos="12027" w:leader="none"/>
          <w:tab w:val="left" w:pos="12735" w:leader="none"/>
          <w:tab w:val="left" w:pos="13442" w:leader="none"/>
          <w:tab w:val="left" w:pos="1415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Прежде чем мы приступим к основной части лекции, прошу зарегистрироваться по QR-коду.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line="360" w:lineRule="auto"/>
        <w:tabs>
          <w:tab w:val="left" w:pos="0" w:leader="none"/>
          <w:tab w:val="left" w:pos="708" w:leader="none"/>
          <w:tab w:val="left" w:pos="1415" w:leader="none"/>
          <w:tab w:val="left" w:pos="2123" w:leader="none"/>
          <w:tab w:val="left" w:pos="2830" w:leader="none"/>
          <w:tab w:val="left" w:pos="3538" w:leader="none"/>
          <w:tab w:val="left" w:pos="4245" w:leader="none"/>
          <w:tab w:val="left" w:pos="4953" w:leader="none"/>
          <w:tab w:val="left" w:pos="5660" w:leader="none"/>
          <w:tab w:val="left" w:pos="6368" w:leader="none"/>
          <w:tab w:val="left" w:pos="7075" w:leader="none"/>
          <w:tab w:val="left" w:pos="7782" w:leader="none"/>
          <w:tab w:val="left" w:pos="8490" w:leader="none"/>
          <w:tab w:val="left" w:pos="9197" w:leader="none"/>
          <w:tab w:val="left" w:pos="9905" w:leader="none"/>
          <w:tab w:val="left" w:pos="10612" w:leader="none"/>
          <w:tab w:val="left" w:pos="11320" w:leader="none"/>
          <w:tab w:val="left" w:pos="12027" w:leader="none"/>
          <w:tab w:val="left" w:pos="12735" w:leader="none"/>
          <w:tab w:val="left" w:pos="13442" w:leader="none"/>
          <w:tab w:val="left" w:pos="1415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5.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89050" cy="28575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387666" name="image1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289049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01.50pt;height:22.5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Кому хотя бы раз звонили мошенники?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6.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роблема финансового мошенничества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Коллеги, вы не одиноки. Всего с января по июль 2025 года было зарегистрировано около 425 тысяч преступлений мошеннического характера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сфере информационных технологий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За первые 7 месяцев 2025 года россияне потеряли 119,6 млрд рублей в результате дистанционных мошенничеств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сообщили в пресс-центре МВД России.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ст. 159 УК РФ, </w:t>
      </w:r>
      <w:bookmarkStart w:id="1" w:name="_Hlk215478503"/>
      <w:r>
        <w:rPr>
          <w:rFonts w:ascii="Times New Roman" w:hAnsi="Times New Roman" w:eastAsia="Times New Roman" w:cs="Times New Roman"/>
          <w:sz w:val="28"/>
          <w:szCs w:val="28"/>
        </w:rPr>
        <w:t xml:space="preserve">мошенничество представляет собой неправомерное завладение чужими деньгами или имуществом в целях обращения его в свою пользу или в пользу третьих лиц, совершаемое с помощью обмана или злоупотребления доверием</w:t>
      </w:r>
      <w:bookmarkEnd w:id="1"/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Финансовое мошенничество остается постоянной угрозой в современном обществе, затрагивая отдельных граждан, компании и государственные структ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уры по всему миру. Мошенники продолжают внедрять изощренные способы обмана в целях получения чужих денег. Такие преступления приводят к крупным денежным потерям, эмоциональному стрессу и долгосрочным повреждениям доверия между потребителями и организациями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тех случаях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когда мошенники выдавали себя за одну из сторон. Несмотря на предпринимаемые финансовыми учреждениями и правоохранительными органами меры предосторожности, ежедневно регистрируется множество новых случаев финансового мошенничества.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7. Типичные ошибки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Почему действия мошенников успешны? Как правило, пострадавшие от мошенников часто совершают определенные типичные ошибки, которые помогают преступникам успешно реализовать свои схемы, а именно — чрезмерная доверчивость и невнимательность, пренебреж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ение проверкой полученной информации, нарушение правил безопасности при использовании банковских карт, а также паника и спешка, навязываемые собеседником по телефону. Также наиболее подвержены риску быть обманутыми люди импульсивные и толерантные к риску.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Сниженный самоконтроль (склонность к рискованным инвестициям) и активн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ость в интернете (онлайн-шопинг в сомнительных интернет-магазинах, открывание электронных писем от неизвестных отправителей) ассоциируются с более высоким риском стать жертвой мошенников, как показал анализ поведения более 11,5 тысяч интернет-пользователей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проведенный еще в 2017 году. С тех пор мошенники существенно улучшили арсенал своих приемов и возможностей. Так, согласно статистике, в 2025 году ежедневно жертвами мошенников становятся от 50 до 70 тысяч человек.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Рассмотрим подробно типичные ошибки: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Самоуверенность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Люди склонны пренебрегать чужими ошибками и негативными переживаниями. Многие не придерживаются простых правил безопасности.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Доверчивость и невнимательность.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Мошенники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благодаря определенным психологическим приемам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способны быстро войти в доверие, маскируются под сотрудников банка, полиции или других авторитетных организаций.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Паника и спешка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Мошенники создают ситуации, когда человек сталкивается с потоком тревожной для него информации и начинает паниковать и спешить. Например,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получает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сообщение о блокировке карты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необходимости перевести деньги для предотвращения списания. Подобная информация ведет к тому, что человек торопится и чаще совершает ошибки.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Нарушение правил безопасности при использовании банковских карт.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Зачастую благодаря искусно разыгранному сценарию жертвы делятся с мошенниками информацией о своих картах, такой как номер, срок действия, CVV-код и ПИН-код.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Отсутствие проверки информации.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Пострадавшие зачастую не проверяют полученную от мошенников информацию. Например, они не перезванивают в банк по официальному номеру после сообщения о блокировке карты.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8. Психологические приемы мошенников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Наиболее распространенным психологическим приемом интернет-мошенников, который они применяют к жертвам, является эмоциональное давление – оно встречается в 99% случаев.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мана может полностью опираться на эмоциональное давление или же периодически включать его как инструмент убеждения, если жертва начинает колебаться или сомневаться в словах мошенника. Исследования показали, что в момент стресса восприятие человека сужается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того чтобы отреагироват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на угрозу или переживание. Изменение общего психоэмоционального состояния и эмоциональная перегрузка мешают нормальной работе рационального мышления и критического восприятия. Этим активно пользуются мошенники, регулярно используя психологические приемы: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Создать ощущение срочности вопроса, чтобы у собеседника не оставалось врем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раздумья.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Вызвать эмоции: запугать, вызвать любопытство, интерес, жалость.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Надавить авторитетом. Мошенники могут представляться сотрудниками банка, полиции, государственных органов или других уважаемых организаций, чтобы убедить жертву.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Расположить к себе. Мошенники могут использовать комплименты, задавать личные вопросы и стараться установить эмоциональную связь.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 Дипфейки. Мошенники все чаще используют нейросети для подделки голосов и создания фейковых видео, чтобы обмануть людей и выдать себя за знакомых или родственников.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9. Виды финансового мошенничества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Поговорим о наиболее распространенных сейчас видах финансового мошенничества: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"https://www.paypal.com/ru/cshelp/article/%D0%BA%D0%B0%D0%BA%D0%BE%D0%B2%D1%8B-%D1%80%D0%B0%D1%81%D0%BF%D1%80%D0%BE%D1%81%D1%82%D1%80%D0%B0%D0%BD%D0%</w:instrText>
      </w:r>
      <w:r>
        <w:instrText xml:space="preserve">B5%D0%BD%D0%BD%D1%8B%D0%B5-%D0%B2%D0%B8%D0%B4%D1%8B-%D0%BC%D0%BE%D1%88%D0%B5%D0%BD%D0%BD%D0%B8%D1%87%D0%B5%D1%81%D1%82%D0%B2%D0%B0-%D0%B8-%D0%BA%D0%B0%D0%BA-%D0%B8%D1%85-%D0%BE%D0%B1%D0%BD%D0%B0%D1%80%D1%83%D0%B6%D0%B8%D1%82%D1%8C-help201" \l "Invoice"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Фиктивные запросы на оплату или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перевод средств.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Чаще всего это звонок с неизвестного номера или через мессенджер с указанием названия службы.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Здравствуйте! Это администрация вашей компании/банка. В связи с необходимостью срочного выполнения финансовых обязательств мы требуем оплатить зад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олженность по вашему счету. Пожалуйста, переведите сумму 15 000 рублей на следующий счет: ХХХХ. В случае неисполнения требования в течение 24 часов ваш доступ к аккаунту будет заблокирован. Для подтверждения оплаты перейдите по ссылке: [поддельная ссылка].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left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</w:instrText>
      </w:r>
      <w:r>
        <w:instrText xml:space="preserve">%D0%B5%D0%BD%D0%BD%D1%8B%D0%B5-%D0%B2%D0%B8%D0%B4%D1%8B-%D0%BC%D0%BE%D1%88%D0%B5%D0%BD%D0%BD%D0%B8%D1%87%D0%B5%D1%81%D1%82%D0%B2%D0%B0-%D0%B8-%D0%BA%D0%B0%D0%BA-%D0%B8%D1%85-%D0%BE%D0%B1%D0%BD%D0%B0%D1%80%D1%83%D0%B6%D0%B8%D1%82%D1%8C-help201" \l "Fee"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Мошенничество с предоплатой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Вы находите объявл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ение о продаже дорогостоящего товара (например, автомобиль или крупная бытовая техника). Вы связываетесь с продавцом, он просит перевести предоплату как гарант сделки. Продавец получает предоплату, но товара не отправляет или он оказывается несуществующим.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left="72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"https://www.paypal.com/ru/cshelp/article/%D0%BA%D0%B0%D0%BA%D0%BE%D0%B2%D1%8B-%D1%80%D0%B0%D1%81%D0%BF%D1%80%D0%BE%D1%81%D1%82%D1%80%D0%B0%D0%BD%D0%B5%D</w:instrText>
      </w:r>
      <w:r>
        <w:instrText xml:space="preserve">0%BD%D0%BD%D1%8B%D0%B5-%D0%B2%D0%B8%D0%B4%D1%8B-%D0%BC%D0%BE%D1%88%D0%B5%D0%BD%D0%BD%D0%B8%D1%87%D0%B5%D1%81%D1%82%D0%B2%D0%B0-%D0%B8-%D0%BA%D0%B0%D0%BA-%D0%B8%D1%85-%D0%BE%D0%B1%D0%BD%D0%B0%D1%80%D1%83%D0%B6%D0%B8%D1%82%D1%8C-help201" \l "Overpayment"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Мошенничество с переплатой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Вы продаете товар через онлайн-объявление. К вам выходит покупатель: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— Здравствуйте! Я хочу приобрести ваш товар, пожалуйста, пришлите мне свои реквизиты, чтобы я мог перевести деньги.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Через некоторое время покупатель переводит вам сумму, превышающую стоимость товара (например, за товар в 20 000 рублей он переводит 25 000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рублей). Затем он просит вернуть разницу (якобы перепутал сумму перевода) — например, 5 000 рублей. После получения этих «разовых» денег оказывается, что перевод был поддельным или отменен, а деньги, которые вы вернули, — реальными, и вы остались ни с чем.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"https://www.paypal.com/ru/cshelp/article/%D0%BA%D0%B0%D0%BA%D0%BE%D0%B2%D1%8B-%D1%80%D0%B0%D1%81%D0%BF%D1%80%D0%BE%D1%81%D1%82%D1%80%D0%B0%D0%BD%D0%B</w:instrText>
      </w:r>
      <w:r>
        <w:instrText xml:space="preserve">5%D0%BD%D0%BD%D1%8B%D0%B5-%D0%B2%D0%B8%D0%B4%D1%8B-%D0%BC%D0%BE%D1%88%D0%B5%D0%BD%D0%BD%D0%B8%D1%87%D0%B5%D1%81%D1%82%D0%B2%D0%B0-%D0%B8-%D0%BA%D0%B0%D0%BA-%D0%B8%D1%85-%D0%BE%D0%B1%D0%BD%D0%B0%D1%80%D1%83%D0%B6%D0%B8%D1%82%D1%8C-help201" \l "Shipping"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Мошенничество с доставкой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Пострадавшему приходит сообщение или звонок, в котором сообщают, что его заказ (например, посылка или товар) не может быть доставлен по техническим причинам или из-за неправильных данных. Мошенник представляется сотрудником служ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бы доставки или продавцом и просит предоставить личные данные или оплатить дополнительные расходы для завершения доставки. В результате жертва оформляет оплату или делится конфиденциальной информацией, которая затем используется для мошеннических действий.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"https://www.paypal.com/ru/cshelp/article/%D0%BA%D0%B0%D0%BA%D0%BE%D0%B2%D1%8B-%D1%80%D0%B0%D1%81%D0%BF%D1%80%D0%BE%D1%81%D1%82%D1%80%D0%B0%D0%BD%D0%B</w:instrText>
      </w:r>
      <w:r>
        <w:instrText xml:space="preserve">5%D0%BD%D0%BD%D1%8B%D0%B5-%D0%B2%D0%B8%D0%B4%D1%8B-%D0%BC%D0%BE%D1%88%D0%B5%D0%BD%D0%BD%D0%B8%D1%87%D0%B5%D1%81%D1%82%D0%B2%D0%B0-%D0%B8-%D0%BA%D0%B0%D0%BA-%D0%B8%D1%85-%D0%BE%D0%B1%D0%BD%D0%B0%D1%80%D1%83%D0%B6%D0%B8%D1%82%D1%8C-help201" \l "Winnings"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Поддельные приз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Мошенник сообщает человеку, что он выиграл крупн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ый приз (например, деньги, технику или автомобиль), но для получения выигрыша необходимо заплатить небольшую сумму – например, налог, сбор за обработку или страховку. После внесения якобы необходимых платежей мошенник исчезает, и человек остается ни с чем.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left="72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Рискованные инвестиции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Мошенники создают сайт или презентацию, обещая инвесторам гарантированный стабильный доход, к примеру, 30-50% прибыли за короткий срок. Обычно они используют хорошую графику, отзывы «довольных клиентов» и искусственно внушают доверие. В реальности: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1. Они собирают деньги у инвесторов.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2. После получения достаточной суммы исчезают, не выплачивая обещанных доходов.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3. Иногда создают фиктивные отчеты или используют крупные компании для обмана. Такое мошенничество часто называется «финансовая пирамида», «краудинвестинг».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"https://www.paypal.com/ru/cshelp/article/%D0%BA%D0%B0%D0%BA%D0%BE%D0%B2%D1%8B-%D1%80%D0%B0%D1%81%D0%BF%D1%80%D0%BE%D1%81%D1%82%D1%80%D0%B0%D0%BD%D0%B5</w:instrText>
      </w:r>
      <w:r>
        <w:instrText xml:space="preserve">%D0%BD%D0%BD%D1%8B%D0%B5-%D0%B2%D0%B8%D0%B4%D1%8B-%D0%BC%D0%BE%D1%88%D0%B5%D0%BD%D0%BD%D0%B8%D1%87%D0%B5%D1%81%D1%82%D0%B2%D0%B0-%D0%B8-%D0%BA%D0%B0%D0%BA-%D0%B8%D1%85-%D0%BE%D0%B1%D0%BD%D0%B0%D1%80%D1%83%D0%B6%D0%B8%D1%82%D1%8C-help201" \l "Charities"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Фальшивые благотворительные организации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Мошенники создают сай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т с названием ПАО «Благотворительный фонд помощи детям» (или подобное), собирают пожертвования на лечение тяжелобольных детей, публикуют фотографии, пишут умилительные истории. После того как собирают крупную сумму — исчезают или оставляют сайт неактивным.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Дроппинг.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Услуги дропперов (от английского «drop» – бросать, ронять) нужны злоумышленникам, чтобы запутать следы и спрятать цепочки обналичивания денег. Дропперу предлагают «заработать», выполняя различные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поручения: например, оформить в банке новую банковскую карту, а затем передать ее «доверенному человеку». Дропперство активно распространяется среди молодежи. Молодые люди не всегда хорошо представляют, какую ответственность они несут за подобные поступки.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Студенту Николаю поступил звонок. Неизвестный абонент предложил легкий заработок: оформить банковскую карту на свое имя и передать ее курьеру. За такую услугу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Николаю пообещали 3 тыс. рублей. Юноша выполнил все условия, и вскоре ему на счет перевели вознаграждение. Затем вновь позвонил абонент и пообещал платить по 2 тыс. рублей за каждого приведенного друга, который точно так же согласится открыть банковскую к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арту. Николай рассказал о ситуации своему коллеге Петру. Он не захотел отдавать физическую карту курьеру, но согласился прислать ее реквизиты. За это Николай, как и было обещано, получил 2 тыс. рублей, а Петр – 3 тыс. рублей. Оба товарища стали дропперами.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993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10. Технологии, используемые мошенниками: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большинство разработанных защит со временем находятся инструменты, способные их преодолеть. Мошенники изобретательны, они активно используют различные технологии: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Поддельные сайты (фальшивые или «фишинговые» сайты).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Создаются точные копии легальных ресурсов для обмана пользователей, которые используют для сбора персональных данных и часто маскируются под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фициальные структуры, такие как банки, государственные органы, интернет-магазины и другие популярные сервисы. В 2024 году служба безопасности отечественного маркетплейса выявила и заблокировала более 3000 поддельных ресурсов, имитировавших официальный сайт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Цель мошенников, создавших подделки, — получение доступа к персональным данным пользователей.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Фишинговые письма.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то 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лектронные сообщения, которые выглядят как официальные уведомления или запросы доверенных организаций. Часто содержат ссылки на поддельные сайты или вредоносные вложения.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 — заставить получателя раскрыть конфиденциальные данные или запустить вредоносное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программное обеспечение (ПО)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Фишинговые письма специально пишутся так, чтобы они были похожи на настоящие. К счастью, есть общие признаки, которые типичны для фишинговых писем и которые должны насторожить вас: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Приложенные документы и ссылки в тексте письма;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Ошибки, опечатки, проблемы с грамматикой;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Непрофессиональная графика;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Просьбы срочно подтвердить ваш адрес или другие личные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Универсальные, неличные обращения, такие как «Дорогой клиент».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Подмена телефонных номеров (спуфинг).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ехнология подделки отправителя вызова, позволяющая отображать на экране доверительный номер (например, банка или компании).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Когда мошенники инициируют аферы с технической поддержкой, они часто используют подмену телефонного номера, чтобы имя контакта отображалось как хорошо известная технологическая компания.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Вредоносное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программное обеспечение (ПО)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ирусы, трояны, шпионское ПО, предназначенные для повреждения систем, кражи данных или получения контроля над устройствами. Могут проникать через фишинговые письма, поддельные сайты или зараженные вложения.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11. Превентивные меры защиты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Защита личных финансов начинается с контроля прав доступа к вашей информации. Превентивными мерами, которые позволят вам обезопасить себя, являются следующие: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Оформление в офисе мобильного оператора запрета на действия с использованием вашей доверенности. Необходимо, чтобы мошенники не могли оформить сим-карты на ваше имя.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Оформление запрета на регистрацию сделок с недвижимостью без личного присутствия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чтобы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исключить продажу вашей недвижимости без вашего присутствия.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Настройка оповещения о выпуске электронной цифровой подписи (ЭЦП) в личном кабинете Госуслуг, чтобы знать, если кто-то получит доступ к ней.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Настройка двухфакторной аутентификации на сайтах Госуслуг, налоговой, mos.ru, Росреестра.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 Оформление запрета услуги «Мобильный перевод» в офисе мобильного оператора не позволит вывести </w:t>
      </w:r>
      <w:bookmarkStart w:id="5" w:name="_GoBack"/>
      <w:r/>
      <w:bookmarkEnd w:id="5"/>
      <w:r>
        <w:rPr>
          <w:rFonts w:ascii="Times New Roman" w:hAnsi="Times New Roman" w:eastAsia="Times New Roman" w:cs="Times New Roman"/>
          <w:sz w:val="28"/>
          <w:szCs w:val="28"/>
        </w:rPr>
        <w:t xml:space="preserve">деньги с сим-карты в случае ее компрометации.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Для быстрой блокировки сим-карты в экстренных случаях необходимо установить кодовое слово в офисе вашего мобильного оператора.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12. Важные меры защиты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Настройте и запомните кодовые слова и контрольные вопросы для всех банков, в которых обслуживаетесь, чтобы в экстренных ситуациях, не теряя времени, подтвердить вашу личность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колл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-центре.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Выучите наизусть номера близких, чтобы в случаях, когда возникнут проблемы с доступом или использованием вашего телефона, вы могли с ними связаться.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Подключите оповещения о запросах вашей кредитной истории и оповещения об операциях по карте.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основной карты, которой расплачиваетесь в магазинах и интернете, запретите снятие наличных, чтобы преступники не смогли снять деньги с вашего счета, используя данные карты.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Запишите в свой смартфон номера телефонов своего мобильного оператора и банков, которыми вы пользуетесь. Это необходимо, чтобы вы отличали входящие звонки организаций, с которыми вы взаимодействуйте, от спам-звонков и сообщений.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это возможно, запретите удаленное восстановление доступа к вашим данным по дистанционным каналам.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Оформите в налоговой службе запрет на регистрацию юридического лица с использованием ЭЦП.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13. Цифровая гигиена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Помимо превентивных методов защиты от мошенников необходимо также помнить о правилах цифровой гигиены. Придерживаясь ее, вы сможете активно противодействовать мошенническим действиям в моменте.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подозрительном или тревожном звонке необходимо сразу же положить трубку. Не отвечайте повторно на звонки, пока сами не разберетесь в ситуации. Перезванивайте только на официальные номера.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платите вперед, откажитесь от предоплат в любых сделках и ситуациях, если фирма или человек вам неизвестны или не вызывают доверия.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оплате на сайтах проверяйте реквизиты перевода непосредственно перед платежом.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держите большие суммы на карте, которой расплачиваетесь в магазинах и интернете.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давайте мессенджерам и банковским приложениям доступ к телефонной книжке, чтобы уменьшить объем информации, который вы можете сообщить о себе.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Имейте дома наличные средства на случай блокировки банковских карт и счетов, для защиты от мошенников.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Периодически меняйте кодовые слова, ответы на контрольные вопросы, пароли от личных кабинетов в приложениях и на сайтах банков, электронной почты, аккаунтов в социальных сетях.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Проверяйте информацию на сайтах Госуслуг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ФНС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выданные вам ЭЦП, участие в организациях, сведения о вашем имуществе, уведомления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осреестра, ФССП России. В настройках почты проверяйте, что отсутствует переадресация на чужие почтовые ящики, а также подозрительные сессии, когда вы не пользовались данными сайтами и списки привязанных устройств.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14. При подозрении на мошенничество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Банки чрезвычайно серьезно подходят к безопасности и проверке всех финансовых операций. Сомнительными вариантами для них являются ситуации, когда: 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  <w:t xml:space="preserve">- деньги переведены на счет, которым владеет лицо из базы дропперов;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  <w:t xml:space="preserve">- перевод сделан с устройства, уже использованного мошенниками;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  <w:t xml:space="preserve">- необычная для клиента сумма или частота переводов, подозрительное место отправки или используемое устройство;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  <w:t xml:space="preserve">- по данным операторов связи, накануне отправитель получал подозрительные сообщения или звонки.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b1f33"/>
          <w:sz w:val="28"/>
          <w:szCs w:val="28"/>
          <w:highlight w:val="white"/>
        </w:rPr>
        <w:t xml:space="preserve">По данным Банка России, в 2024 году банки предотвратили более 72 млн попыток мошеннических переводов на 13,5 трлн рублей. Тем не менее мошенники похитили 27,5 млрд рублей у частных лиц и бизнеса</w:t>
      </w:r>
      <w:r>
        <w:rPr>
          <w:rFonts w:ascii="Times New Roman" w:hAnsi="Times New Roman" w:eastAsia="Times New Roman" w:cs="Times New Roman"/>
          <w:color w:val="0b1f33"/>
          <w:sz w:val="28"/>
          <w:szCs w:val="28"/>
          <w:highlight w:val="white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color w:val="0b1f33"/>
          <w:sz w:val="28"/>
          <w:szCs w:val="28"/>
          <w:highlight w:val="white"/>
        </w:rPr>
        <w:t xml:space="preserve">. Поэтому, несмотря на постоянно совершенствующиеся способы борьбы с мошенниками, будьте бдительны.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сли вы получили подозрительное письмо, звонок от лица сотрудника банка или обнаружили операцию, которую вы не совершали, а также в случае, когда доступ к вашему компьютеру, смартфону или USB-токену могли получить посторонние лица, следуйте этой инструкции: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Немедл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енно обратитесь в справочно-информационную службу банка или микрокредитной организации, места, где была проведена подозрительная операция. Если там подтвердят, что мошенники взломали карты или взяли на вас кредит, обращайтесь в правоохранительные органы.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Подайте заявление о мошенничестве в полицию. Приложите всю информацию, которая может быть полезна во время расследования: дату оформления кредита или списания денег, подозрительные звонки, сообщения и письма, которые поступали вам в последнее время.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Направьте в банк официальную претензию о возврате денег, списанных со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счета без вашего согласия. Здесь тоже понадобится вся подробная информация о мошенничестве: выписки с ваших счетов, дата взлома или оформления кредита, данные о потенциальных злоумышленниках, если вы подозреваете в незаконной операции кого-то конкретного.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Если банк отказывается решать ваш вопрос, попросите письменный отказ с указанием причин. Напишите жалобу </w:t>
      </w:r>
      <w:r>
        <w:fldChar w:fldCharType="begin"/>
      </w:r>
      <w:r>
        <w:instrText xml:space="preserve"> HYPERLINK "https://cbr.ru/Reception/Message/Register?messageType=Complaint"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 сайте Банка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Если размер требования не превышает 500 000 ₽, для решения вопроса в досудебном порядке можно обратиться </w:t>
      </w:r>
      <w:r>
        <w:fldChar w:fldCharType="begin"/>
      </w:r>
      <w:r>
        <w:instrText xml:space="preserve"> HYPERLINK "https://www.gosuslugi.ru/life/details/financial_commissioner"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 финансовому уполномоченному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15-16. Викторина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давайте закрепим наше занятие небольшой викториной!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bookmarkStart w:id="2" w:name="_Hlk215480089"/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электронную почту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пришло письмо с уведомлением, что вы выиграли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денежный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приз в лотерее, в которой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участвовали. Вам предлагают перейти по ссылке для подтверждения личности или привязать карту для получения выигрыша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Что вы будете делать?</w:t>
      </w:r>
      <w:bookmarkEnd w:id="2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Переве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дете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деньги на указанный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письме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счет для получения «выигрыша»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Проигнорируете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письмо и удалит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его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Перейдете по ссылке для подтверждения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личност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17-18. Викторина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Какое из следующих действий помогает усилить защиту вашего банковского аккаунта?  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1) Регулярная смена банковских карт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2) Активация двухфакторной аутентификации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Использование ЭЦП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19-20. Викторина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Когда вам пишет знакомый человек с чужого номера с просьбой перевести деньги, что вы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будете делать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? 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1) Немедленно переведете деньги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2) Позвоните знакомому на его номер телефона, чтобы уточнить информацию</w:t>
      </w:r>
      <w:r>
        <w:rPr>
          <w:rFonts w:ascii="Times New Roman" w:hAnsi="Times New Roman" w:eastAsia="Times New Roman" w:cs="Times New Roman"/>
          <w:b/>
          <w:bCs/>
          <w:color w:val="00b0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b050"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color w:val="00b050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Проинформируете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подозрительном контакте полицию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21-22. Викторина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Что является одним из способов мошенничества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социальны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сетя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?  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Реклама онлайн-казино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Создание фальшивых страниц для сбора личных данных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Обмен фотографиями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23. Заключение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ходе сегодняшней лекции мы подробно разобрали тему защиты от финансового мошенничества. Узнали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какие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слабые стороны, свойственные большинству людей, используют мошенники.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Однако главное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мы узнали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возможности эффективной защиты с помощью превентивных мер и соблюдения правил цифровой гигиены. Оформление запретов на действия с доверенностью,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астройка двухфакторной аутентификации, оповещения о подозрительных операциях и регулярная смена паролей позволяют минимизировать риски. При подозрении на мошенничество необходимо сразу обращаться в банк, полицию, предоставляя все детали для расследования.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Приоритет государства и каждого гражданина — формирование культуры финансовой грамотности и осознанного управления рисками. Соблюдая рекомендации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защите данных, избегая импульсивных действий и критически оценивая любую информацию, мы можем значительно снизить собственную уязвимость перед мошенниками. Помните: настоящая безопасность строится на осведомленности и осторожности, а не на пустом доверии.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Слайд 24. Полезные ссылки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/>
      <w:bookmarkStart w:id="3" w:name="_heading=h.fznl4ms2n7xw"/>
      <w:r/>
      <w:bookmarkEnd w:id="3"/>
      <w: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/>
      <w:bookmarkStart w:id="4" w:name="_heading=h.d3a9obb91fx2"/>
      <w:r/>
      <w:bookmarkEnd w:id="4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Список рекомендуемой литературы: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Верчинский А. О чем думают мошенники, прежде чем обмануть нас| Издательские решения, 2021.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Доув М. Психология мошенничества. Методы убеждения и мошенничества, Гуманитарный центр, 2022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Кийосаки Роберт Т. Богатый папа, бедный папа, Попурри, 2022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Ричи С. Наукообразная чушь. Разоблачение мошенничества, предвзятости, недобросовестности и хайпа в науке | АСТ, 2024.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Тарасова А. Сам себе финансист: как тратить с умом и копить правильно, Альпина Паблишер, 2018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133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Symbols"/>
  <w:font w:name="Times New Roman">
    <w:panose1 w:val="02020603050405020304"/>
  </w:font>
  <w:font w:name="Segoe UI">
    <w:panose1 w:val="020B0502040504020204"/>
  </w:font>
  <w:font w:name="Play"/>
  <w:font w:name="Arial">
    <w:panose1 w:val="020B0604020202020204"/>
  </w:font>
  <w:font w:name="Aptos"/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sz w:val="32"/>
        <w:szCs w:val="32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color w:val="000000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color w:val="000000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32"/>
        <w:szCs w:val="32"/>
      </w:rPr>
    </w:r>
    <w:r>
      <w:rPr>
        <w:rFonts w:ascii="Times New Roman" w:hAnsi="Times New Roman" w:eastAsia="Times New Roman" w:cs="Times New Roman"/>
        <w:sz w:val="32"/>
        <w:szCs w:val="32"/>
      </w:rPr>
    </w:r>
  </w:p>
  <w:p>
    <w:pPr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sz w:val="28"/>
        <w:szCs w:val="28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8" w:lineRule="auto"/>
      </w:pPr>
      <w:r>
        <w:separator/>
      </w:r>
      <w:r/>
    </w:p>
  </w:footnote>
  <w:footnote w:type="continuationSeparator" w:id="0">
    <w:p>
      <w:pPr>
        <w:spacing w:before="0" w:after="0" w:line="278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https://tass.ru/proisshestviya/24910341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</w:footnote>
  <w:footnote w:id="3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Статья 159 Уголовного кодекса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http://pravo.gov.ru/proxy/ips/?docbody&amp;nd=102041891 (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та обращения: 16.06.202)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4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https://econs.online/articles/coffee-break/moshenniki-i-ikh-zhertvy-kto-uyazvim-i-pochemu/ (дата обращения: 16.06.2025)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</w:footnote>
  <w:footnote w:id="5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https://tass.ru/proisshestviya/24274173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6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"https://www.gazeta.ru/tech/news/2024/12/13/24611336.shtml"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467886"/>
          <w:sz w:val="20"/>
          <w:szCs w:val="20"/>
          <w:u w:val="single"/>
        </w:rPr>
        <w:t xml:space="preserve">https://www.gazeta.ru/tech/news/2024/12/13/24611336.shtml</w:t>
      </w:r>
      <w:r>
        <w:rPr>
          <w:rFonts w:ascii="Times New Roman" w:hAnsi="Times New Roman" w:eastAsia="Times New Roman" w:cs="Times New Roman"/>
          <w:color w:val="467886"/>
          <w:sz w:val="20"/>
          <w:szCs w:val="20"/>
          <w:u w:val="single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(дата обращения: 17.06.2025)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7">
    <w:p>
      <w:pPr>
        <w:spacing w:after="0" w:line="240" w:lineRule="auto"/>
        <w:rPr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"https://www.paypal.com/ru/cshelp/article/%D0%BA%D0%B0%D0%BA%D0%BE%D0%B2%D1%8B-%D1%80%D0%B0%D1%81%D0%BF%D1%80%D0%BE%D1%81%D1%82%D1%80%D0%B0%D0%BD%D0%</w:instrText>
      </w:r>
      <w:r>
        <w:instrText xml:space="preserve">B5%D0%BD%D0%BD%D1%8B%D0%B5-%D0%B2%D0%B8%D0%B4%D1%8B-%D0%BC%D0%BE%D1%88%D0%B5%D0%BD%D0%BD%D0%B8%D1%87%D0%B5%D1%81%D1%82%D0%B2%D0%B0-%D0%B8-%D0%BA%D0%B0%D0%BA-%D0%B8%D1%85-%D0%BE%D0%B1%D0%BD%D0%B0%D1%80%D1%83%D0%B6%D0%B8%D1%82%D1%8C-help201" \l "Invoice"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https://www.paypal.com/ru/cshelp/article/каковы-распространенные-виды-мошенничества-и-как-их-обнаружить-help201#Invoice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(дата обращения: 16.06.2025)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8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"https://xn--80apaohbc3aw9e.xn--p1ai/article/kto-takie-droppery-i-kak-ne-stat-souchastnikom-prestupleniya/"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https://xn--80apaohbc3aw9e.xn--p1ai/article/kto-takie-droppery-i-kak-ne-stat-souchastnikom-prestupleniya/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(дата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обращения: 17.06.2025)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9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https://ria.ru/20250203/wildberries-1997195333.html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</w:footnote>
  <w:footnote w:id="10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"https://www.kaspersky.ru/resource-center/preemptive-safety/phishing-email"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https://www.kaspersky.ru/resource-center/preemptive-safety/phishing-email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(дата обращения: 17.06.2025)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1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https://cbr.ru/press/event/?id=23382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</w:footnote>
  <w:footnote w:id="12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https://www.gosuslugi.ru/life/details/dealt_with_scammers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82115" cy="392430"/>
              <wp:effectExtent l="0" t="0" r="0" b="0"/>
              <wp:docPr id="1" name="image2.png" descr="C:\Users\f.levitskiy\AppData\Local\Microsoft\Windows\INetCache\Content.MSO\F918A833.tmp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2.png" descr="C:\Users\f.levitskiy\AppData\Local\Microsoft\Windows\INetCache\Content.MSO\F918A833.tmp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82431" cy="3925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2.45pt;height:30.9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82115" cy="392430"/>
              <wp:effectExtent l="0" t="0" r="0" b="0"/>
              <wp:docPr id="2" name="image2.png" descr="C:\Users\f.levitskiy\AppData\Local\Microsoft\Windows\INetCache\Content.MSO\F918A833.tmp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 descr="C:\Users\f.levitskiy\AppData\Local\Microsoft\Windows\INetCache\Content.MSO\F918A833.tmp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82431" cy="3925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32.45pt;height:30.9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isLgl w:val="false"/>
      <w:suff w:val="tab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isLgl w:val="false"/>
      <w:suff w:val="tab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ptos" w:hAnsi="Aptos" w:eastAsia="Aptos" w:cs="Apto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02">
    <w:name w:val="Heading 1 Char"/>
    <w:basedOn w:val="1069"/>
    <w:link w:val="1060"/>
    <w:uiPriority w:val="9"/>
    <w:rPr>
      <w:rFonts w:ascii="Arial" w:hAnsi="Arial" w:eastAsia="Arial" w:cs="Arial"/>
      <w:sz w:val="40"/>
      <w:szCs w:val="40"/>
    </w:rPr>
  </w:style>
  <w:style w:type="character" w:styleId="903">
    <w:name w:val="Heading 2 Char"/>
    <w:basedOn w:val="1069"/>
    <w:link w:val="1061"/>
    <w:uiPriority w:val="9"/>
    <w:rPr>
      <w:rFonts w:ascii="Arial" w:hAnsi="Arial" w:eastAsia="Arial" w:cs="Arial"/>
      <w:sz w:val="34"/>
    </w:rPr>
  </w:style>
  <w:style w:type="character" w:styleId="904">
    <w:name w:val="Heading 3 Char"/>
    <w:basedOn w:val="1069"/>
    <w:link w:val="1062"/>
    <w:uiPriority w:val="9"/>
    <w:rPr>
      <w:rFonts w:ascii="Arial" w:hAnsi="Arial" w:eastAsia="Arial" w:cs="Arial"/>
      <w:sz w:val="30"/>
      <w:szCs w:val="30"/>
    </w:rPr>
  </w:style>
  <w:style w:type="character" w:styleId="905">
    <w:name w:val="Heading 4 Char"/>
    <w:basedOn w:val="1069"/>
    <w:link w:val="1063"/>
    <w:uiPriority w:val="9"/>
    <w:rPr>
      <w:rFonts w:ascii="Arial" w:hAnsi="Arial" w:eastAsia="Arial" w:cs="Arial"/>
      <w:b/>
      <w:bCs/>
      <w:sz w:val="26"/>
      <w:szCs w:val="26"/>
    </w:rPr>
  </w:style>
  <w:style w:type="character" w:styleId="906">
    <w:name w:val="Heading 5 Char"/>
    <w:basedOn w:val="1069"/>
    <w:link w:val="1064"/>
    <w:uiPriority w:val="9"/>
    <w:rPr>
      <w:rFonts w:ascii="Arial" w:hAnsi="Arial" w:eastAsia="Arial" w:cs="Arial"/>
      <w:b/>
      <w:bCs/>
      <w:sz w:val="24"/>
      <w:szCs w:val="24"/>
    </w:rPr>
  </w:style>
  <w:style w:type="character" w:styleId="907">
    <w:name w:val="Heading 6 Char"/>
    <w:basedOn w:val="1069"/>
    <w:link w:val="1065"/>
    <w:uiPriority w:val="9"/>
    <w:rPr>
      <w:rFonts w:ascii="Arial" w:hAnsi="Arial" w:eastAsia="Arial" w:cs="Arial"/>
      <w:b/>
      <w:bCs/>
      <w:sz w:val="22"/>
      <w:szCs w:val="22"/>
    </w:rPr>
  </w:style>
  <w:style w:type="character" w:styleId="908">
    <w:name w:val="Heading 7 Char"/>
    <w:basedOn w:val="1069"/>
    <w:link w:val="10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09">
    <w:name w:val="Heading 8 Char"/>
    <w:basedOn w:val="1069"/>
    <w:link w:val="1067"/>
    <w:uiPriority w:val="9"/>
    <w:rPr>
      <w:rFonts w:ascii="Arial" w:hAnsi="Arial" w:eastAsia="Arial" w:cs="Arial"/>
      <w:i/>
      <w:iCs/>
      <w:sz w:val="22"/>
      <w:szCs w:val="22"/>
    </w:rPr>
  </w:style>
  <w:style w:type="character" w:styleId="910">
    <w:name w:val="Heading 9 Char"/>
    <w:basedOn w:val="1069"/>
    <w:link w:val="1068"/>
    <w:uiPriority w:val="9"/>
    <w:rPr>
      <w:rFonts w:ascii="Arial" w:hAnsi="Arial" w:eastAsia="Arial" w:cs="Arial"/>
      <w:i/>
      <w:iCs/>
      <w:sz w:val="21"/>
      <w:szCs w:val="21"/>
    </w:rPr>
  </w:style>
  <w:style w:type="paragraph" w:styleId="911">
    <w:name w:val="No Spacing"/>
    <w:uiPriority w:val="1"/>
    <w:qFormat/>
    <w:pPr>
      <w:spacing w:before="0" w:after="0" w:line="240" w:lineRule="auto"/>
    </w:pPr>
  </w:style>
  <w:style w:type="character" w:styleId="912">
    <w:name w:val="Title Char"/>
    <w:basedOn w:val="1069"/>
    <w:link w:val="1079"/>
    <w:uiPriority w:val="10"/>
    <w:rPr>
      <w:sz w:val="48"/>
      <w:szCs w:val="48"/>
    </w:rPr>
  </w:style>
  <w:style w:type="character" w:styleId="913">
    <w:name w:val="Subtitle Char"/>
    <w:basedOn w:val="1069"/>
    <w:link w:val="1082"/>
    <w:uiPriority w:val="11"/>
    <w:rPr>
      <w:sz w:val="24"/>
      <w:szCs w:val="24"/>
    </w:rPr>
  </w:style>
  <w:style w:type="character" w:styleId="914">
    <w:name w:val="Quote Char"/>
    <w:link w:val="1095"/>
    <w:uiPriority w:val="29"/>
    <w:rPr>
      <w:i/>
    </w:rPr>
  </w:style>
  <w:style w:type="character" w:styleId="915">
    <w:name w:val="Intense Quote Char"/>
    <w:link w:val="1099"/>
    <w:uiPriority w:val="30"/>
    <w:rPr>
      <w:i/>
    </w:rPr>
  </w:style>
  <w:style w:type="character" w:styleId="916">
    <w:name w:val="Header Char"/>
    <w:basedOn w:val="1069"/>
    <w:link w:val="1078"/>
    <w:uiPriority w:val="99"/>
  </w:style>
  <w:style w:type="character" w:styleId="917">
    <w:name w:val="Footer Char"/>
    <w:basedOn w:val="1069"/>
    <w:link w:val="1080"/>
    <w:uiPriority w:val="99"/>
  </w:style>
  <w:style w:type="paragraph" w:styleId="918">
    <w:name w:val="Caption"/>
    <w:basedOn w:val="1059"/>
    <w:next w:val="10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9">
    <w:name w:val="Caption Char"/>
    <w:basedOn w:val="918"/>
    <w:link w:val="1080"/>
    <w:uiPriority w:val="99"/>
  </w:style>
  <w:style w:type="table" w:styleId="920">
    <w:name w:val="Table Grid"/>
    <w:basedOn w:val="10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1">
    <w:name w:val="Table Grid Light"/>
    <w:basedOn w:val="10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2">
    <w:name w:val="Plain Table 1"/>
    <w:basedOn w:val="10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23">
    <w:name w:val="Plain Table 2"/>
    <w:basedOn w:val="10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24">
    <w:name w:val="Plain Table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25">
    <w:name w:val="Plain Table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Plain Table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7">
    <w:name w:val="Grid Table 1 Light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Grid Table 1 Light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Grid Table 1 Light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Grid Table 1 Light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Grid Table 1 Light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Grid Table 1 Light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Grid Table 1 Light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Grid Table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2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2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2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2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2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2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Grid Table 3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3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3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3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3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3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4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9">
    <w:name w:val="Grid Table 4 - Accent 1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50">
    <w:name w:val="Grid Table 4 - Accent 2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51">
    <w:name w:val="Grid Table 4 - Accent 3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52">
    <w:name w:val="Grid Table 4 - Accent 4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53">
    <w:name w:val="Grid Table 4 - Accent 5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54">
    <w:name w:val="Grid Table 4 - Accent 6"/>
    <w:basedOn w:val="10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55">
    <w:name w:val="Grid Table 5 Dark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56">
    <w:name w:val="Grid Table 5 Dark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957">
    <w:name w:val="Grid Table 5 Dark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958">
    <w:name w:val="Grid Table 5 Dark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959">
    <w:name w:val="Grid Table 5 Dark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960">
    <w:name w:val="Grid Table 5 Dark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61">
    <w:name w:val="Grid Table 5 Dark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62">
    <w:name w:val="Grid Table 6 Colorful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63">
    <w:name w:val="Grid Table 6 Colorful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64">
    <w:name w:val="Grid Table 6 Colorful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65">
    <w:name w:val="Grid Table 6 Colorful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66">
    <w:name w:val="Grid Table 6 Colorful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67">
    <w:name w:val="Grid Table 6 Colorful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8">
    <w:name w:val="Grid Table 6 Colorful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9">
    <w:name w:val="Grid Table 7 Colorful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7 Colorful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7 Colorful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7 Colorful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7 Colorful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7 Colorful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7 Colorful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List Table 1 Light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List Table 1 Light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List Table 1 Light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List Table 1 Light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List Table 1 Light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List Table 1 Light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List Table 1 Light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List Table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84">
    <w:name w:val="List Table 2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85">
    <w:name w:val="List Table 2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86">
    <w:name w:val="List Table 2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87">
    <w:name w:val="List Table 2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88">
    <w:name w:val="List Table 2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89">
    <w:name w:val="List Table 2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90">
    <w:name w:val="List Table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3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3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List Table 3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List Table 3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List Table 3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>
    <w:name w:val="List Table 3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>
    <w:name w:val="List Table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>
    <w:name w:val="List Table 4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>
    <w:name w:val="List Table 4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>
    <w:name w:val="List Table 4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1">
    <w:name w:val="List Table 4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>
    <w:name w:val="List Table 4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3">
    <w:name w:val="List Table 4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>
    <w:name w:val="List Table 5 Dark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5">
    <w:name w:val="List Table 5 Dark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6">
    <w:name w:val="List Table 5 Dark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7">
    <w:name w:val="List Table 5 Dark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8">
    <w:name w:val="List Table 5 Dark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9">
    <w:name w:val="List Table 5 Dark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0">
    <w:name w:val="List Table 5 Dark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1">
    <w:name w:val="List Table 6 Colorful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12">
    <w:name w:val="List Table 6 Colorful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13">
    <w:name w:val="List Table 6 Colorful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14">
    <w:name w:val="List Table 6 Colorful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15">
    <w:name w:val="List Table 6 Colorful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16">
    <w:name w:val="List Table 6 Colorful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17">
    <w:name w:val="List Table 6 Colorful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18">
    <w:name w:val="List Table 7 Colorful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19">
    <w:name w:val="List Table 7 Colorful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020">
    <w:name w:val="List Table 7 Colorful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021">
    <w:name w:val="List Table 7 Colorful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022">
    <w:name w:val="List Table 7 Colorful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023">
    <w:name w:val="List Table 7 Colorful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024">
    <w:name w:val="List Table 7 Colorful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025">
    <w:name w:val="Lined - Accent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6">
    <w:name w:val="Lined - Accent 1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027">
    <w:name w:val="Lined - Accent 2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028">
    <w:name w:val="Lined - Accent 3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029">
    <w:name w:val="Lined - Accent 4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030">
    <w:name w:val="Lined - Accent 5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031">
    <w:name w:val="Lined - Accent 6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032">
    <w:name w:val="Bordered &amp; Lined - Accent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33">
    <w:name w:val="Bordered &amp; Lined - Accent 1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034">
    <w:name w:val="Bordered &amp; Lined - Accent 2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035">
    <w:name w:val="Bordered &amp; Lined - Accent 3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036">
    <w:name w:val="Bordered &amp; Lined - Accent 4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037">
    <w:name w:val="Bordered &amp; Lined - Accent 5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038">
    <w:name w:val="Bordered &amp; Lined - Accent 6"/>
    <w:basedOn w:val="10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039">
    <w:name w:val="Bordered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40">
    <w:name w:val="Bordered - Accent 1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41">
    <w:name w:val="Bordered - Accent 2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42">
    <w:name w:val="Bordered - Accent 3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43">
    <w:name w:val="Bordered - Accent 4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44">
    <w:name w:val="Bordered - Accent 5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45">
    <w:name w:val="Bordered - Accent 6"/>
    <w:basedOn w:val="10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46">
    <w:name w:val="Footnote Text Char"/>
    <w:link w:val="1077"/>
    <w:uiPriority w:val="99"/>
    <w:rPr>
      <w:sz w:val="18"/>
    </w:rPr>
  </w:style>
  <w:style w:type="character" w:styleId="1047">
    <w:name w:val="Endnote Text Char"/>
    <w:link w:val="1076"/>
    <w:uiPriority w:val="99"/>
    <w:rPr>
      <w:sz w:val="20"/>
    </w:rPr>
  </w:style>
  <w:style w:type="paragraph" w:styleId="1048">
    <w:name w:val="toc 1"/>
    <w:basedOn w:val="1059"/>
    <w:next w:val="1059"/>
    <w:uiPriority w:val="39"/>
    <w:unhideWhenUsed/>
    <w:pPr>
      <w:ind w:left="0" w:right="0" w:firstLine="0"/>
      <w:spacing w:after="57"/>
    </w:pPr>
  </w:style>
  <w:style w:type="paragraph" w:styleId="1049">
    <w:name w:val="toc 2"/>
    <w:basedOn w:val="1059"/>
    <w:next w:val="1059"/>
    <w:uiPriority w:val="39"/>
    <w:unhideWhenUsed/>
    <w:pPr>
      <w:ind w:left="283" w:right="0" w:firstLine="0"/>
      <w:spacing w:after="57"/>
    </w:pPr>
  </w:style>
  <w:style w:type="paragraph" w:styleId="1050">
    <w:name w:val="toc 3"/>
    <w:basedOn w:val="1059"/>
    <w:next w:val="1059"/>
    <w:uiPriority w:val="39"/>
    <w:unhideWhenUsed/>
    <w:pPr>
      <w:ind w:left="567" w:right="0" w:firstLine="0"/>
      <w:spacing w:after="57"/>
    </w:pPr>
  </w:style>
  <w:style w:type="paragraph" w:styleId="1051">
    <w:name w:val="toc 4"/>
    <w:basedOn w:val="1059"/>
    <w:next w:val="1059"/>
    <w:uiPriority w:val="39"/>
    <w:unhideWhenUsed/>
    <w:pPr>
      <w:ind w:left="850" w:right="0" w:firstLine="0"/>
      <w:spacing w:after="57"/>
    </w:pPr>
  </w:style>
  <w:style w:type="paragraph" w:styleId="1052">
    <w:name w:val="toc 5"/>
    <w:basedOn w:val="1059"/>
    <w:next w:val="1059"/>
    <w:uiPriority w:val="39"/>
    <w:unhideWhenUsed/>
    <w:pPr>
      <w:ind w:left="1134" w:right="0" w:firstLine="0"/>
      <w:spacing w:after="57"/>
    </w:pPr>
  </w:style>
  <w:style w:type="paragraph" w:styleId="1053">
    <w:name w:val="toc 6"/>
    <w:basedOn w:val="1059"/>
    <w:next w:val="1059"/>
    <w:uiPriority w:val="39"/>
    <w:unhideWhenUsed/>
    <w:pPr>
      <w:ind w:left="1417" w:right="0" w:firstLine="0"/>
      <w:spacing w:after="57"/>
    </w:pPr>
  </w:style>
  <w:style w:type="paragraph" w:styleId="1054">
    <w:name w:val="toc 7"/>
    <w:basedOn w:val="1059"/>
    <w:next w:val="1059"/>
    <w:uiPriority w:val="39"/>
    <w:unhideWhenUsed/>
    <w:pPr>
      <w:ind w:left="1701" w:right="0" w:firstLine="0"/>
      <w:spacing w:after="57"/>
    </w:pPr>
  </w:style>
  <w:style w:type="paragraph" w:styleId="1055">
    <w:name w:val="toc 8"/>
    <w:basedOn w:val="1059"/>
    <w:next w:val="1059"/>
    <w:uiPriority w:val="39"/>
    <w:unhideWhenUsed/>
    <w:pPr>
      <w:ind w:left="1984" w:right="0" w:firstLine="0"/>
      <w:spacing w:after="57"/>
    </w:pPr>
  </w:style>
  <w:style w:type="paragraph" w:styleId="1056">
    <w:name w:val="toc 9"/>
    <w:basedOn w:val="1059"/>
    <w:next w:val="1059"/>
    <w:uiPriority w:val="39"/>
    <w:unhideWhenUsed/>
    <w:pPr>
      <w:ind w:left="2268" w:right="0" w:firstLine="0"/>
      <w:spacing w:after="57"/>
    </w:pPr>
  </w:style>
  <w:style w:type="paragraph" w:styleId="1057">
    <w:name w:val="TOC Heading"/>
    <w:uiPriority w:val="39"/>
    <w:unhideWhenUsed/>
  </w:style>
  <w:style w:type="paragraph" w:styleId="1058">
    <w:name w:val="table of figures"/>
    <w:basedOn w:val="1059"/>
    <w:next w:val="1059"/>
    <w:uiPriority w:val="99"/>
    <w:unhideWhenUsed/>
    <w:pPr>
      <w:spacing w:after="0" w:afterAutospacing="0"/>
    </w:pPr>
  </w:style>
  <w:style w:type="paragraph" w:styleId="1059" w:default="1">
    <w:name w:val="Normal"/>
    <w:uiPriority w:val="0"/>
    <w:qFormat/>
    <w:pPr>
      <w:spacing w:after="160" w:line="278" w:lineRule="auto"/>
    </w:pPr>
    <w:rPr>
      <w:rFonts w:ascii="Aptos" w:hAnsi="Aptos" w:eastAsia="Aptos" w:cs="Aptos"/>
      <w:sz w:val="24"/>
      <w:szCs w:val="24"/>
      <w:lang w:val="ru" w:eastAsia="ru-RU" w:bidi="ar-SA"/>
    </w:rPr>
  </w:style>
  <w:style w:type="paragraph" w:styleId="1060">
    <w:name w:val="Heading 1"/>
    <w:basedOn w:val="1059"/>
    <w:next w:val="1059"/>
    <w:uiPriority w:val="9"/>
    <w:qFormat/>
    <w:pPr>
      <w:keepLines/>
      <w:keepNext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1061">
    <w:name w:val="Heading 2"/>
    <w:basedOn w:val="1059"/>
    <w:next w:val="1059"/>
    <w:uiPriority w:val="9"/>
    <w:unhideWhenUsed/>
    <w:qFormat/>
    <w:pPr>
      <w:keepLines/>
      <w:keepNext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1062">
    <w:name w:val="Heading 3"/>
    <w:basedOn w:val="1059"/>
    <w:next w:val="1059"/>
    <w:uiPriority w:val="9"/>
    <w:unhideWhenUsed/>
    <w:qFormat/>
    <w:pPr>
      <w:keepLines/>
      <w:keepNext/>
      <w:spacing w:before="160" w:after="80"/>
      <w:outlineLvl w:val="2"/>
    </w:pPr>
    <w:rPr>
      <w:color w:val="0f4761"/>
      <w:sz w:val="28"/>
      <w:szCs w:val="28"/>
    </w:rPr>
  </w:style>
  <w:style w:type="paragraph" w:styleId="1063">
    <w:name w:val="Heading 4"/>
    <w:basedOn w:val="1059"/>
    <w:next w:val="1059"/>
    <w:uiPriority w:val="9"/>
    <w:semiHidden/>
    <w:unhideWhenUsed/>
    <w:qFormat/>
    <w:pPr>
      <w:keepLines/>
      <w:keepNext/>
      <w:spacing w:before="80" w:after="40"/>
      <w:outlineLvl w:val="3"/>
    </w:pPr>
    <w:rPr>
      <w:i/>
      <w:iCs/>
      <w:color w:val="0f4761"/>
    </w:rPr>
  </w:style>
  <w:style w:type="paragraph" w:styleId="1064">
    <w:name w:val="Heading 5"/>
    <w:basedOn w:val="1059"/>
    <w:next w:val="1059"/>
    <w:uiPriority w:val="9"/>
    <w:semiHidden/>
    <w:unhideWhenUsed/>
    <w:qFormat/>
    <w:pPr>
      <w:keepLines/>
      <w:keepNext/>
      <w:spacing w:before="80" w:after="40"/>
      <w:outlineLvl w:val="4"/>
    </w:pPr>
    <w:rPr>
      <w:color w:val="0f4761"/>
    </w:rPr>
  </w:style>
  <w:style w:type="paragraph" w:styleId="1065">
    <w:name w:val="Heading 6"/>
    <w:basedOn w:val="1059"/>
    <w:next w:val="1059"/>
    <w:uiPriority w:val="9"/>
    <w:semiHidden/>
    <w:unhideWhenUsed/>
    <w:qFormat/>
    <w:pPr>
      <w:keepLines/>
      <w:keepNext/>
      <w:spacing w:before="40" w:after="0"/>
      <w:outlineLvl w:val="5"/>
    </w:pPr>
    <w:rPr>
      <w:i/>
      <w:iCs/>
      <w:color w:val="595959"/>
    </w:rPr>
  </w:style>
  <w:style w:type="paragraph" w:styleId="1066">
    <w:name w:val="Heading 7"/>
    <w:link w:val="1090"/>
    <w:uiPriority w:val="9"/>
    <w:semiHidden/>
    <w:unhideWhenUsed/>
    <w:qFormat/>
    <w:pPr>
      <w:keepLines/>
      <w:keepNext/>
      <w:spacing w:before="40" w:after="0" w:line="278" w:lineRule="auto"/>
      <w:outlineLvl w:val="6"/>
    </w:pPr>
    <w:rPr>
      <w:rFonts w:ascii="Aptos" w:hAnsi="Aptos" w:eastAsiaTheme="majorEastAsia" w:cstheme="majorBidi"/>
      <w:color w:val="595959" w:themeColor="text1" w:themeTint="A6"/>
      <w:sz w:val="24"/>
      <w:szCs w:val="24"/>
      <w:lang w:val="ru" w:eastAsia="ru-RU" w:bidi="ar-SA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67">
    <w:name w:val="Heading 8"/>
    <w:link w:val="1091"/>
    <w:uiPriority w:val="9"/>
    <w:semiHidden/>
    <w:unhideWhenUsed/>
    <w:qFormat/>
    <w:pPr>
      <w:keepLines/>
      <w:keepNext/>
      <w:spacing w:after="0" w:line="278" w:lineRule="auto"/>
      <w:outlineLvl w:val="7"/>
    </w:pPr>
    <w:rPr>
      <w:rFonts w:ascii="Aptos" w:hAnsi="Aptos" w:eastAsiaTheme="majorEastAsia" w:cstheme="majorBidi"/>
      <w:i/>
      <w:iCs/>
      <w:color w:val="262626" w:themeColor="text1" w:themeTint="D9"/>
      <w:sz w:val="24"/>
      <w:szCs w:val="24"/>
      <w:lang w:val="ru" w:eastAsia="ru-RU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68">
    <w:name w:val="Heading 9"/>
    <w:link w:val="1092"/>
    <w:uiPriority w:val="9"/>
    <w:semiHidden/>
    <w:unhideWhenUsed/>
    <w:qFormat/>
    <w:pPr>
      <w:keepLines/>
      <w:keepNext/>
      <w:spacing w:after="0" w:line="278" w:lineRule="auto"/>
      <w:outlineLvl w:val="8"/>
    </w:pPr>
    <w:rPr>
      <w:rFonts w:ascii="Aptos" w:hAnsi="Aptos" w:eastAsiaTheme="majorEastAsia" w:cstheme="majorBidi"/>
      <w:color w:val="262626" w:themeColor="text1" w:themeTint="D9"/>
      <w:sz w:val="24"/>
      <w:szCs w:val="24"/>
      <w:lang w:val="ru" w:eastAsia="ru-RU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1069" w:default="1">
    <w:name w:val="Default Paragraph Font"/>
    <w:uiPriority w:val="1"/>
    <w:semiHidden/>
    <w:unhideWhenUsed/>
    <w:qFormat/>
  </w:style>
  <w:style w:type="table" w:styleId="1070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1071">
    <w:name w:val="FollowedHyperlink"/>
    <w:basedOn w:val="1069"/>
    <w:uiPriority w:val="99"/>
    <w:semiHidden/>
    <w:unhideWhenUsed/>
    <w:qFormat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072">
    <w:name w:val="footnote reference"/>
    <w:basedOn w:val="1069"/>
    <w:uiPriority w:val="99"/>
    <w:semiHidden/>
    <w:unhideWhenUsed/>
    <w:qFormat/>
    <w:rPr>
      <w:vertAlign w:val="superscript"/>
    </w:rPr>
  </w:style>
  <w:style w:type="character" w:styleId="1073">
    <w:name w:val="endnote reference"/>
    <w:basedOn w:val="1069"/>
    <w:uiPriority w:val="99"/>
    <w:semiHidden/>
    <w:unhideWhenUsed/>
    <w:qFormat/>
    <w:rPr>
      <w:vertAlign w:val="superscript"/>
    </w:rPr>
  </w:style>
  <w:style w:type="character" w:styleId="1074">
    <w:name w:val="Hyperlink"/>
    <w:basedOn w:val="1069"/>
    <w:uiPriority w:val="99"/>
    <w:unhideWhenUsed/>
    <w:qFormat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075">
    <w:name w:val="Balloon Text"/>
    <w:link w:val="1107"/>
    <w:uiPriority w:val="99"/>
    <w:semiHidden/>
    <w:unhideWhenUsed/>
    <w:qFormat/>
    <w:pPr>
      <w:spacing w:after="0" w:line="240" w:lineRule="auto"/>
    </w:pPr>
    <w:rPr>
      <w:rFonts w:ascii="Segoe UI" w:hAnsi="Segoe UI" w:eastAsia="Aptos" w:cs="Segoe UI"/>
      <w:sz w:val="18"/>
      <w:szCs w:val="18"/>
      <w:lang w:val="ru" w:eastAsia="ru-RU" w:bidi="ar-SA"/>
    </w:rPr>
  </w:style>
  <w:style w:type="paragraph" w:styleId="1076">
    <w:name w:val="endnote text"/>
    <w:link w:val="1104"/>
    <w:uiPriority w:val="99"/>
    <w:semiHidden/>
    <w:unhideWhenUsed/>
    <w:qFormat/>
    <w:pPr>
      <w:spacing w:after="0" w:line="240" w:lineRule="auto"/>
    </w:pPr>
    <w:rPr>
      <w:rFonts w:ascii="Aptos" w:hAnsi="Aptos" w:eastAsia="Aptos" w:cs="Aptos"/>
      <w:sz w:val="20"/>
      <w:szCs w:val="20"/>
      <w:lang w:val="ru" w:eastAsia="ru-RU" w:bidi="ar-SA"/>
    </w:rPr>
  </w:style>
  <w:style w:type="paragraph" w:styleId="1077">
    <w:name w:val="footnote text"/>
    <w:link w:val="1102"/>
    <w:uiPriority w:val="99"/>
    <w:semiHidden/>
    <w:unhideWhenUsed/>
    <w:qFormat/>
    <w:pPr>
      <w:spacing w:after="0" w:line="240" w:lineRule="auto"/>
    </w:pPr>
    <w:rPr>
      <w:rFonts w:ascii="Aptos" w:hAnsi="Aptos" w:eastAsia="Aptos" w:cs="Aptos"/>
      <w:sz w:val="20"/>
      <w:szCs w:val="20"/>
      <w:lang w:val="ru" w:eastAsia="ru-RU" w:bidi="ar-SA"/>
    </w:rPr>
  </w:style>
  <w:style w:type="paragraph" w:styleId="1078">
    <w:name w:val="Header"/>
    <w:link w:val="1105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  <w:rPr>
      <w:rFonts w:ascii="Aptos" w:hAnsi="Aptos" w:eastAsia="Aptos" w:cs="Aptos"/>
      <w:sz w:val="24"/>
      <w:szCs w:val="24"/>
      <w:lang w:val="ru" w:eastAsia="ru-RU" w:bidi="ar-SA"/>
    </w:rPr>
  </w:style>
  <w:style w:type="paragraph" w:styleId="1079">
    <w:name w:val="Title"/>
    <w:basedOn w:val="1059"/>
    <w:next w:val="1059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1080">
    <w:name w:val="Footer"/>
    <w:link w:val="1106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  <w:rPr>
      <w:rFonts w:ascii="Aptos" w:hAnsi="Aptos" w:eastAsia="Aptos" w:cs="Aptos"/>
      <w:sz w:val="24"/>
      <w:szCs w:val="24"/>
      <w:lang w:val="ru" w:eastAsia="ru-RU" w:bidi="ar-SA"/>
    </w:rPr>
  </w:style>
  <w:style w:type="paragraph" w:styleId="1081">
    <w:name w:val="Normal (Web)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" w:eastAsia="ru-RU" w:bidi="ar-SA"/>
    </w:rPr>
  </w:style>
  <w:style w:type="paragraph" w:styleId="1082">
    <w:name w:val="Subtitle"/>
    <w:basedOn w:val="1059"/>
    <w:next w:val="1059"/>
    <w:uiPriority w:val="11"/>
    <w:qFormat/>
    <w:rPr>
      <w:color w:val="595959"/>
      <w:sz w:val="28"/>
      <w:szCs w:val="28"/>
    </w:rPr>
  </w:style>
  <w:style w:type="table" w:styleId="1083" w:customStyle="1">
    <w:name w:val="TableNormal"/>
    <w:uiPriority w:val="0"/>
    <w:qFormat/>
    <w:tblPr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1084" w:customStyle="1">
    <w:name w:val="Заголовок 1 Знак"/>
    <w:basedOn w:val="1069"/>
    <w:uiPriority w:val="9"/>
    <w:qFormat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styleId="1085" w:customStyle="1">
    <w:name w:val="Заголовок 2 Знак"/>
    <w:basedOn w:val="1069"/>
    <w:uiPriority w:val="9"/>
    <w:qFormat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styleId="1086" w:customStyle="1">
    <w:name w:val="Заголовок 3 Знак"/>
    <w:basedOn w:val="1069"/>
    <w:uiPriority w:val="9"/>
    <w:qFormat/>
    <w:rPr>
      <w:rFonts w:eastAsiaTheme="majorEastAsia" w:cstheme="majorBidi"/>
      <w:color w:val="104862" w:themeColor="accent1" w:themeShade="BF"/>
      <w:sz w:val="28"/>
      <w:szCs w:val="28"/>
    </w:rPr>
  </w:style>
  <w:style w:type="character" w:styleId="1087" w:customStyle="1">
    <w:name w:val="Заголовок 4 Знак"/>
    <w:basedOn w:val="1069"/>
    <w:uiPriority w:val="9"/>
    <w:semiHidden/>
    <w:qFormat/>
    <w:rPr>
      <w:rFonts w:eastAsiaTheme="majorEastAsia" w:cstheme="majorBidi"/>
      <w:i/>
      <w:iCs/>
      <w:color w:val="104862" w:themeColor="accent1" w:themeShade="BF"/>
    </w:rPr>
  </w:style>
  <w:style w:type="character" w:styleId="1088" w:customStyle="1">
    <w:name w:val="Заголовок 5 Знак"/>
    <w:basedOn w:val="1069"/>
    <w:uiPriority w:val="9"/>
    <w:semiHidden/>
    <w:qFormat/>
    <w:rPr>
      <w:rFonts w:eastAsiaTheme="majorEastAsia" w:cstheme="majorBidi"/>
      <w:color w:val="104862" w:themeColor="accent1" w:themeShade="BF"/>
    </w:rPr>
  </w:style>
  <w:style w:type="character" w:styleId="1089" w:customStyle="1">
    <w:name w:val="Заголовок 6 Знак"/>
    <w:basedOn w:val="1069"/>
    <w:uiPriority w:val="9"/>
    <w:semiHidden/>
    <w:qFormat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090" w:customStyle="1">
    <w:name w:val="Заголовок 7 Знак"/>
    <w:basedOn w:val="1069"/>
    <w:link w:val="1066"/>
    <w:uiPriority w:val="9"/>
    <w:semiHidden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091" w:customStyle="1">
    <w:name w:val="Заголовок 8 Знак"/>
    <w:basedOn w:val="1069"/>
    <w:link w:val="1067"/>
    <w:uiPriority w:val="9"/>
    <w:semiHidden/>
    <w:qFormat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1092" w:customStyle="1">
    <w:name w:val="Заголовок 9 Знак"/>
    <w:basedOn w:val="1069"/>
    <w:link w:val="1068"/>
    <w:uiPriority w:val="9"/>
    <w:semiHidden/>
    <w:qFormat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1093" w:customStyle="1">
    <w:name w:val="Заголовок Знак"/>
    <w:basedOn w:val="1069"/>
    <w:uiPriority w:val="10"/>
    <w:qFormat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94" w:customStyle="1">
    <w:name w:val="Подзаголовок Знак"/>
    <w:basedOn w:val="106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95">
    <w:name w:val="Quote"/>
    <w:link w:val="1096"/>
    <w:uiPriority w:val="29"/>
    <w:qFormat/>
    <w:pPr>
      <w:jc w:val="center"/>
      <w:spacing w:before="160" w:after="160" w:line="278" w:lineRule="auto"/>
    </w:pPr>
    <w:rPr>
      <w:rFonts w:ascii="Aptos" w:hAnsi="Aptos" w:eastAsia="Aptos" w:cs="Aptos"/>
      <w:i/>
      <w:iCs/>
      <w:color w:val="404040" w:themeColor="text1" w:themeTint="BF"/>
      <w:sz w:val="24"/>
      <w:szCs w:val="24"/>
      <w:lang w:val="ru" w:eastAsia="ru-RU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1096" w:customStyle="1">
    <w:name w:val="Цитата 2 Знак"/>
    <w:basedOn w:val="1069"/>
    <w:link w:val="1095"/>
    <w:uiPriority w:val="29"/>
    <w:qFormat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97">
    <w:name w:val="List Paragraph"/>
    <w:uiPriority w:val="34"/>
    <w:qFormat/>
    <w:pPr>
      <w:contextualSpacing/>
      <w:ind w:left="720"/>
      <w:spacing w:after="160" w:line="278" w:lineRule="auto"/>
    </w:pPr>
    <w:rPr>
      <w:rFonts w:ascii="Aptos" w:hAnsi="Aptos" w:eastAsia="Aptos" w:cs="Aptos"/>
      <w:sz w:val="24"/>
      <w:szCs w:val="24"/>
      <w:lang w:val="ru" w:eastAsia="ru-RU" w:bidi="ar-SA"/>
    </w:rPr>
  </w:style>
  <w:style w:type="character" w:styleId="1098" w:customStyle="1">
    <w:name w:val="Intense Emphasis"/>
    <w:basedOn w:val="1069"/>
    <w:uiPriority w:val="21"/>
    <w:qFormat/>
    <w:rPr>
      <w:i/>
      <w:iCs/>
      <w:color w:val="104862" w:themeColor="accent1" w:themeShade="BF"/>
    </w:rPr>
  </w:style>
  <w:style w:type="paragraph" w:styleId="1099">
    <w:name w:val="Intense Quote"/>
    <w:link w:val="1100"/>
    <w:uiPriority w:val="30"/>
    <w:qFormat/>
    <w:pPr>
      <w:ind w:left="864" w:right="864"/>
      <w:jc w:val="center"/>
      <w:spacing w:before="360" w:after="360" w:line="278" w:lineRule="auto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rFonts w:ascii="Aptos" w:hAnsi="Aptos" w:eastAsia="Aptos" w:cs="Aptos"/>
      <w:i/>
      <w:iCs/>
      <w:color w:val="104862" w:themeColor="accent1" w:themeShade="BF"/>
      <w:sz w:val="24"/>
      <w:szCs w:val="24"/>
      <w:lang w:val="ru" w:eastAsia="ru-RU" w:bidi="ar-SA"/>
    </w:rPr>
  </w:style>
  <w:style w:type="character" w:styleId="1100" w:customStyle="1">
    <w:name w:val="Выделенная цитата Знак"/>
    <w:basedOn w:val="1069"/>
    <w:link w:val="1099"/>
    <w:uiPriority w:val="30"/>
    <w:qFormat/>
    <w:rPr>
      <w:i/>
      <w:iCs/>
      <w:color w:val="104862" w:themeColor="accent1" w:themeShade="BF"/>
    </w:rPr>
  </w:style>
  <w:style w:type="character" w:styleId="1101" w:customStyle="1">
    <w:name w:val="Intense Reference"/>
    <w:basedOn w:val="1069"/>
    <w:uiPriority w:val="32"/>
    <w:qFormat/>
    <w:rPr>
      <w:b/>
      <w:bCs/>
      <w:smallCaps/>
      <w:color w:val="104862" w:themeColor="accent1" w:themeShade="BF"/>
      <w:spacing w:val="5"/>
    </w:rPr>
  </w:style>
  <w:style w:type="character" w:styleId="1102" w:customStyle="1">
    <w:name w:val="Текст сноски Знак"/>
    <w:basedOn w:val="1069"/>
    <w:link w:val="1077"/>
    <w:uiPriority w:val="99"/>
    <w:semiHidden/>
    <w:qFormat/>
    <w:rPr>
      <w:sz w:val="20"/>
      <w:szCs w:val="20"/>
    </w:rPr>
  </w:style>
  <w:style w:type="character" w:styleId="1103" w:customStyle="1">
    <w:name w:val="Unresolved Mention"/>
    <w:basedOn w:val="1069"/>
    <w:uiPriority w:val="99"/>
    <w:semiHidden/>
    <w:unhideWhenUsed/>
    <w:qFormat/>
    <w:rPr>
      <w:color w:val="605e5c"/>
      <w:shd w:val="clear" w:color="auto" w:fill="e1dfdd"/>
    </w:rPr>
  </w:style>
  <w:style w:type="character" w:styleId="1104" w:customStyle="1">
    <w:name w:val="Текст концевой сноски Знак"/>
    <w:basedOn w:val="1069"/>
    <w:link w:val="1076"/>
    <w:uiPriority w:val="99"/>
    <w:semiHidden/>
    <w:qFormat/>
    <w:rPr>
      <w:sz w:val="20"/>
      <w:szCs w:val="20"/>
    </w:rPr>
  </w:style>
  <w:style w:type="character" w:styleId="1105" w:customStyle="1">
    <w:name w:val="Верхний колонтитул Знак"/>
    <w:basedOn w:val="1069"/>
    <w:link w:val="1078"/>
    <w:uiPriority w:val="99"/>
    <w:qFormat/>
  </w:style>
  <w:style w:type="character" w:styleId="1106" w:customStyle="1">
    <w:name w:val="Нижний колонтитул Знак"/>
    <w:basedOn w:val="1069"/>
    <w:link w:val="1080"/>
    <w:uiPriority w:val="99"/>
    <w:qFormat/>
  </w:style>
  <w:style w:type="character" w:styleId="1107" w:customStyle="1">
    <w:name w:val="Текст выноски Знак"/>
    <w:basedOn w:val="1069"/>
    <w:link w:val="1075"/>
    <w:uiPriority w:val="99"/>
    <w:semiHidden/>
    <w:qFormat/>
    <w:rPr>
      <w:rFonts w:ascii="Segoe UI" w:hAnsi="Segoe UI" w:cs="Segoe UI"/>
      <w:sz w:val="18"/>
      <w:szCs w:val="18"/>
    </w:rPr>
  </w:style>
  <w:style w:type="paragraph" w:styleId="1108" w:customStyle="1">
    <w:name w:val="pt-2"/>
    <w:uiPriority w:val="0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" w:eastAsia="ru-RU" w:bidi="ar-SA"/>
    </w:rPr>
  </w:style>
  <w:style w:type="numbering" w:styleId="110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dGUd2/VKgOYhZ7i1VyuIpK+wg==">CgMxLjAyDmgub3RnbnlnNzB1bzE0Mg5oLmZ6bmw0bXMybjd4dzIOaC5kM2E5b2JiOTFmeDI4AHIhMVFYU2RFcndTR242czhaOTNxekRFZm9RMEdKRUlXMXVN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/>
</file>

<file path=customXml/itemProps2.xml><?xml version="1.0" encoding="utf-8"?>
<ds:datastoreItem xmlns:ds="http://schemas.openxmlformats.org/officeDocument/2006/customXml" ds:itemID="{A04483DA-1CF7-4B42-BFCB-54F11047C254}"/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Дмитрий Юрьевич</dc:creator>
  <cp:lastModifiedBy>Лекции Знание</cp:lastModifiedBy>
  <cp:revision>5</cp:revision>
  <dcterms:created xsi:type="dcterms:W3CDTF">2025-12-02T07:50:00Z</dcterms:created>
  <dcterms:modified xsi:type="dcterms:W3CDTF">2026-07-02T10:12:08Z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8553492811CA4E6FA9888935D9D8E76B_12</vt:lpwstr>
  </property>
</Properties>
</file>